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5DC8" w14:textId="77777777" w:rsidR="00D23958" w:rsidRPr="00331C1E" w:rsidRDefault="00D757ED" w:rsidP="00D2395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331C1E">
        <w:rPr>
          <w:b/>
          <w:szCs w:val="22"/>
        </w:rPr>
        <w:t>Zkrácená</w:t>
      </w:r>
      <w:proofErr w:type="spellEnd"/>
      <w:r w:rsidRPr="00331C1E">
        <w:rPr>
          <w:b/>
          <w:szCs w:val="22"/>
        </w:rPr>
        <w:t xml:space="preserve"> </w:t>
      </w:r>
      <w:proofErr w:type="spellStart"/>
      <w:r w:rsidRPr="00331C1E">
        <w:rPr>
          <w:b/>
          <w:szCs w:val="22"/>
        </w:rPr>
        <w:t>informace</w:t>
      </w:r>
      <w:proofErr w:type="spellEnd"/>
      <w:r w:rsidRPr="00331C1E">
        <w:rPr>
          <w:b/>
          <w:szCs w:val="22"/>
        </w:rPr>
        <w:t xml:space="preserve"> o </w:t>
      </w:r>
      <w:proofErr w:type="spellStart"/>
      <w:r w:rsidRPr="00331C1E">
        <w:rPr>
          <w:b/>
          <w:szCs w:val="22"/>
        </w:rPr>
        <w:t>přípravku</w:t>
      </w:r>
      <w:proofErr w:type="spellEnd"/>
    </w:p>
    <w:p w14:paraId="6020A263" w14:textId="77777777" w:rsidR="00F75205" w:rsidRPr="00331C1E" w:rsidRDefault="00F75205" w:rsidP="00D2395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szCs w:val="22"/>
        </w:rPr>
      </w:pPr>
    </w:p>
    <w:p w14:paraId="1B47D08C" w14:textId="59950879" w:rsidR="005432C3" w:rsidRPr="00331C1E" w:rsidRDefault="00930BB0" w:rsidP="005432C3">
      <w:pPr>
        <w:spacing w:line="240" w:lineRule="auto"/>
        <w:rPr>
          <w:lang w:val="cs-CZ"/>
        </w:rPr>
      </w:pPr>
      <w:proofErr w:type="spellStart"/>
      <w:r w:rsidRPr="00331C1E">
        <w:rPr>
          <w:b/>
          <w:szCs w:val="22"/>
        </w:rPr>
        <w:t>Název</w:t>
      </w:r>
      <w:proofErr w:type="spellEnd"/>
      <w:r w:rsidRPr="00331C1E">
        <w:rPr>
          <w:b/>
          <w:szCs w:val="22"/>
        </w:rPr>
        <w:t xml:space="preserve"> </w:t>
      </w:r>
      <w:proofErr w:type="spellStart"/>
      <w:r w:rsidRPr="00331C1E">
        <w:rPr>
          <w:b/>
          <w:szCs w:val="22"/>
        </w:rPr>
        <w:t>přípravku</w:t>
      </w:r>
      <w:proofErr w:type="spellEnd"/>
      <w:r w:rsidRPr="00331C1E">
        <w:rPr>
          <w:b/>
          <w:szCs w:val="22"/>
        </w:rPr>
        <w:t>:</w:t>
      </w:r>
      <w:r w:rsidRPr="00331C1E">
        <w:rPr>
          <w:szCs w:val="22"/>
        </w:rPr>
        <w:t xml:space="preserve"> AUBAGIO </w:t>
      </w:r>
      <w:r w:rsidR="009720D8" w:rsidRPr="00331C1E">
        <w:rPr>
          <w:szCs w:val="22"/>
        </w:rPr>
        <w:t>7</w:t>
      </w:r>
      <w:r w:rsidRPr="00331C1E">
        <w:rPr>
          <w:szCs w:val="22"/>
        </w:rPr>
        <w:t xml:space="preserve"> mg </w:t>
      </w:r>
      <w:proofErr w:type="spellStart"/>
      <w:r w:rsidRPr="00331C1E">
        <w:rPr>
          <w:szCs w:val="22"/>
        </w:rPr>
        <w:t>potahované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tablety</w:t>
      </w:r>
      <w:proofErr w:type="spellEnd"/>
      <w:r w:rsidR="00176A8C" w:rsidRPr="00331C1E">
        <w:rPr>
          <w:szCs w:val="22"/>
        </w:rPr>
        <w:t xml:space="preserve"> a AUBAGIO </w:t>
      </w:r>
      <w:r w:rsidR="009720D8" w:rsidRPr="00331C1E">
        <w:rPr>
          <w:szCs w:val="22"/>
        </w:rPr>
        <w:t>14</w:t>
      </w:r>
      <w:r w:rsidR="00176A8C" w:rsidRPr="00331C1E">
        <w:rPr>
          <w:szCs w:val="22"/>
        </w:rPr>
        <w:t xml:space="preserve"> mg </w:t>
      </w:r>
      <w:proofErr w:type="spellStart"/>
      <w:r w:rsidR="00176A8C" w:rsidRPr="00331C1E">
        <w:rPr>
          <w:szCs w:val="22"/>
        </w:rPr>
        <w:t>potahované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tablety</w:t>
      </w:r>
      <w:proofErr w:type="spellEnd"/>
      <w:r w:rsidRPr="00331C1E">
        <w:rPr>
          <w:b/>
          <w:szCs w:val="22"/>
        </w:rPr>
        <w:t xml:space="preserve">. </w:t>
      </w:r>
      <w:proofErr w:type="spellStart"/>
      <w:r w:rsidRPr="00331C1E">
        <w:rPr>
          <w:b/>
          <w:bCs/>
          <w:szCs w:val="22"/>
        </w:rPr>
        <w:t>Složení</w:t>
      </w:r>
      <w:proofErr w:type="spellEnd"/>
      <w:r w:rsidRPr="00331C1E">
        <w:rPr>
          <w:b/>
          <w:bCs/>
          <w:szCs w:val="22"/>
        </w:rPr>
        <w:t xml:space="preserve">: </w:t>
      </w:r>
      <w:proofErr w:type="spellStart"/>
      <w:r w:rsidRPr="00331C1E">
        <w:rPr>
          <w:bCs/>
          <w:szCs w:val="22"/>
        </w:rPr>
        <w:t>Teriflunomidum</w:t>
      </w:r>
      <w:proofErr w:type="spellEnd"/>
      <w:r w:rsidRPr="00331C1E">
        <w:rPr>
          <w:bCs/>
          <w:szCs w:val="22"/>
        </w:rPr>
        <w:t xml:space="preserve"> </w:t>
      </w:r>
      <w:r w:rsidR="009720D8" w:rsidRPr="00331C1E">
        <w:rPr>
          <w:bCs/>
          <w:szCs w:val="22"/>
        </w:rPr>
        <w:t>7</w:t>
      </w:r>
      <w:r w:rsidRPr="00331C1E">
        <w:rPr>
          <w:bCs/>
          <w:szCs w:val="22"/>
        </w:rPr>
        <w:t> </w:t>
      </w:r>
      <w:proofErr w:type="gramStart"/>
      <w:r w:rsidRPr="00331C1E">
        <w:rPr>
          <w:bCs/>
          <w:szCs w:val="22"/>
        </w:rPr>
        <w:t xml:space="preserve">mg </w:t>
      </w:r>
      <w:r w:rsidR="00176A8C" w:rsidRPr="00331C1E">
        <w:rPr>
          <w:bCs/>
          <w:szCs w:val="22"/>
        </w:rPr>
        <w:t xml:space="preserve"> a</w:t>
      </w:r>
      <w:proofErr w:type="gramEnd"/>
      <w:r w:rsidR="00176A8C" w:rsidRPr="00331C1E">
        <w:rPr>
          <w:bCs/>
          <w:szCs w:val="22"/>
        </w:rPr>
        <w:t xml:space="preserve"> </w:t>
      </w:r>
      <w:r w:rsidR="009720D8" w:rsidRPr="00331C1E">
        <w:rPr>
          <w:bCs/>
          <w:szCs w:val="22"/>
        </w:rPr>
        <w:t xml:space="preserve">14 </w:t>
      </w:r>
      <w:r w:rsidR="00176A8C" w:rsidRPr="00331C1E">
        <w:rPr>
          <w:bCs/>
          <w:szCs w:val="22"/>
        </w:rPr>
        <w:t xml:space="preserve">mg </w:t>
      </w:r>
      <w:r w:rsidRPr="00331C1E">
        <w:rPr>
          <w:bCs/>
          <w:szCs w:val="22"/>
        </w:rPr>
        <w:t>v </w:t>
      </w:r>
      <w:proofErr w:type="spellStart"/>
      <w:r w:rsidRPr="00331C1E">
        <w:rPr>
          <w:bCs/>
          <w:szCs w:val="22"/>
        </w:rPr>
        <w:t>jedné</w:t>
      </w:r>
      <w:proofErr w:type="spellEnd"/>
      <w:r w:rsidRPr="00331C1E">
        <w:rPr>
          <w:bCs/>
          <w:szCs w:val="22"/>
        </w:rPr>
        <w:t xml:space="preserve"> </w:t>
      </w:r>
      <w:proofErr w:type="spellStart"/>
      <w:r w:rsidRPr="00331C1E">
        <w:rPr>
          <w:bCs/>
          <w:szCs w:val="22"/>
        </w:rPr>
        <w:t>potahované</w:t>
      </w:r>
      <w:proofErr w:type="spellEnd"/>
      <w:r w:rsidRPr="00331C1E">
        <w:rPr>
          <w:bCs/>
          <w:szCs w:val="22"/>
        </w:rPr>
        <w:t xml:space="preserve"> </w:t>
      </w:r>
      <w:proofErr w:type="spellStart"/>
      <w:r w:rsidRPr="00331C1E">
        <w:rPr>
          <w:bCs/>
          <w:szCs w:val="22"/>
        </w:rPr>
        <w:t>tabletě</w:t>
      </w:r>
      <w:proofErr w:type="spellEnd"/>
      <w:r w:rsidRPr="00331C1E">
        <w:rPr>
          <w:bCs/>
          <w:szCs w:val="22"/>
        </w:rPr>
        <w:t xml:space="preserve">. </w:t>
      </w:r>
      <w:proofErr w:type="spellStart"/>
      <w:r w:rsidRPr="00331C1E">
        <w:rPr>
          <w:b/>
          <w:szCs w:val="22"/>
        </w:rPr>
        <w:t>Indikace</w:t>
      </w:r>
      <w:proofErr w:type="spellEnd"/>
      <w:r w:rsidRPr="00331C1E">
        <w:rPr>
          <w:b/>
          <w:szCs w:val="22"/>
        </w:rPr>
        <w:t>:</w:t>
      </w:r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Léčba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dospělých</w:t>
      </w:r>
      <w:proofErr w:type="spellEnd"/>
      <w:r w:rsidR="00487B17" w:rsidRPr="00331C1E">
        <w:rPr>
          <w:szCs w:val="22"/>
        </w:rPr>
        <w:t xml:space="preserve"> a </w:t>
      </w:r>
      <w:proofErr w:type="spellStart"/>
      <w:r w:rsidR="00487B17" w:rsidRPr="00331C1E">
        <w:rPr>
          <w:szCs w:val="22"/>
        </w:rPr>
        <w:t>pediatrických</w:t>
      </w:r>
      <w:proofErr w:type="spellEnd"/>
      <w:r w:rsidR="00487B17" w:rsidRPr="00331C1E">
        <w:rPr>
          <w:szCs w:val="22"/>
        </w:rPr>
        <w:t xml:space="preserve"> </w:t>
      </w:r>
      <w:proofErr w:type="spellStart"/>
      <w:r w:rsidR="00487B17" w:rsidRPr="00331C1E">
        <w:rPr>
          <w:szCs w:val="22"/>
        </w:rPr>
        <w:t>pacientů</w:t>
      </w:r>
      <w:proofErr w:type="spellEnd"/>
      <w:r w:rsidR="00487B17" w:rsidRPr="00331C1E">
        <w:rPr>
          <w:szCs w:val="22"/>
        </w:rPr>
        <w:t xml:space="preserve"> </w:t>
      </w:r>
      <w:proofErr w:type="spellStart"/>
      <w:r w:rsidR="00487B17" w:rsidRPr="00331C1E">
        <w:rPr>
          <w:szCs w:val="22"/>
        </w:rPr>
        <w:t>ve</w:t>
      </w:r>
      <w:proofErr w:type="spellEnd"/>
      <w:r w:rsidR="00487B17" w:rsidRPr="00331C1E">
        <w:rPr>
          <w:szCs w:val="22"/>
        </w:rPr>
        <w:t xml:space="preserve"> </w:t>
      </w:r>
      <w:proofErr w:type="spellStart"/>
      <w:r w:rsidR="00487B17" w:rsidRPr="00331C1E">
        <w:rPr>
          <w:szCs w:val="22"/>
        </w:rPr>
        <w:t>věku</w:t>
      </w:r>
      <w:proofErr w:type="spellEnd"/>
      <w:r w:rsidR="00487B17" w:rsidRPr="00331C1E">
        <w:rPr>
          <w:szCs w:val="22"/>
        </w:rPr>
        <w:t xml:space="preserve"> 10 let a </w:t>
      </w:r>
      <w:proofErr w:type="spellStart"/>
      <w:r w:rsidR="00487B17" w:rsidRPr="00331C1E">
        <w:rPr>
          <w:szCs w:val="22"/>
        </w:rPr>
        <w:t>starších</w:t>
      </w:r>
      <w:proofErr w:type="spellEnd"/>
      <w:r w:rsidRPr="00331C1E">
        <w:rPr>
          <w:szCs w:val="22"/>
        </w:rPr>
        <w:t xml:space="preserve"> s </w:t>
      </w:r>
      <w:proofErr w:type="spellStart"/>
      <w:r w:rsidRPr="00331C1E">
        <w:rPr>
          <w:szCs w:val="22"/>
        </w:rPr>
        <w:t>relaps-remitentní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roztroušenou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sklerózou</w:t>
      </w:r>
      <w:proofErr w:type="spellEnd"/>
      <w:r w:rsidRPr="00331C1E">
        <w:rPr>
          <w:szCs w:val="22"/>
        </w:rPr>
        <w:t xml:space="preserve"> (RS). </w:t>
      </w:r>
      <w:proofErr w:type="spellStart"/>
      <w:r w:rsidRPr="00331C1E">
        <w:rPr>
          <w:b/>
          <w:szCs w:val="22"/>
        </w:rPr>
        <w:t>Dávkování</w:t>
      </w:r>
      <w:proofErr w:type="spellEnd"/>
      <w:r w:rsidRPr="00331C1E">
        <w:rPr>
          <w:b/>
          <w:szCs w:val="22"/>
        </w:rPr>
        <w:t xml:space="preserve"> a </w:t>
      </w:r>
      <w:proofErr w:type="spellStart"/>
      <w:r w:rsidRPr="00331C1E">
        <w:rPr>
          <w:b/>
          <w:szCs w:val="22"/>
        </w:rPr>
        <w:t>způsob</w:t>
      </w:r>
      <w:proofErr w:type="spellEnd"/>
      <w:r w:rsidRPr="00331C1E">
        <w:rPr>
          <w:b/>
          <w:szCs w:val="22"/>
        </w:rPr>
        <w:t xml:space="preserve"> </w:t>
      </w:r>
      <w:proofErr w:type="spellStart"/>
      <w:r w:rsidRPr="00331C1E">
        <w:rPr>
          <w:b/>
          <w:szCs w:val="22"/>
        </w:rPr>
        <w:t>podání</w:t>
      </w:r>
      <w:proofErr w:type="spellEnd"/>
      <w:r w:rsidRPr="00331C1E">
        <w:rPr>
          <w:b/>
          <w:szCs w:val="22"/>
        </w:rPr>
        <w:t xml:space="preserve">: </w:t>
      </w:r>
      <w:r w:rsidR="00176A8C" w:rsidRPr="00331C1E">
        <w:rPr>
          <w:szCs w:val="22"/>
        </w:rPr>
        <w:t xml:space="preserve">U </w:t>
      </w:r>
      <w:proofErr w:type="spellStart"/>
      <w:r w:rsidR="00176A8C" w:rsidRPr="00331C1E">
        <w:rPr>
          <w:szCs w:val="22"/>
        </w:rPr>
        <w:t>dospělých</w:t>
      </w:r>
      <w:proofErr w:type="spellEnd"/>
      <w:r w:rsidR="00176A8C" w:rsidRPr="00331C1E">
        <w:rPr>
          <w:szCs w:val="22"/>
        </w:rPr>
        <w:t xml:space="preserve"> je </w:t>
      </w:r>
      <w:proofErr w:type="spellStart"/>
      <w:r w:rsidR="00176A8C" w:rsidRPr="00331C1E">
        <w:rPr>
          <w:szCs w:val="22"/>
        </w:rPr>
        <w:t>d</w:t>
      </w:r>
      <w:r w:rsidRPr="00331C1E">
        <w:rPr>
          <w:szCs w:val="22"/>
        </w:rPr>
        <w:t>oporuč</w:t>
      </w:r>
      <w:r w:rsidR="00176A8C" w:rsidRPr="00331C1E">
        <w:rPr>
          <w:szCs w:val="22"/>
        </w:rPr>
        <w:t>e</w:t>
      </w:r>
      <w:r w:rsidRPr="00331C1E">
        <w:rPr>
          <w:szCs w:val="22"/>
        </w:rPr>
        <w:t>ná</w:t>
      </w:r>
      <w:proofErr w:type="spellEnd"/>
      <w:r w:rsidRPr="00331C1E">
        <w:rPr>
          <w:szCs w:val="22"/>
        </w:rPr>
        <w:t xml:space="preserve"> </w:t>
      </w:r>
      <w:proofErr w:type="spellStart"/>
      <w:proofErr w:type="gramStart"/>
      <w:r w:rsidRPr="00331C1E">
        <w:rPr>
          <w:szCs w:val="22"/>
        </w:rPr>
        <w:t>dávka</w:t>
      </w:r>
      <w:proofErr w:type="spellEnd"/>
      <w:r w:rsidRPr="00331C1E">
        <w:rPr>
          <w:szCs w:val="22"/>
        </w:rPr>
        <w:t xml:space="preserve">  14</w:t>
      </w:r>
      <w:proofErr w:type="gramEnd"/>
      <w:r w:rsidRPr="00331C1E">
        <w:rPr>
          <w:szCs w:val="22"/>
        </w:rPr>
        <w:t xml:space="preserve"> mg </w:t>
      </w:r>
      <w:proofErr w:type="spellStart"/>
      <w:r w:rsidRPr="00331C1E">
        <w:rPr>
          <w:szCs w:val="22"/>
        </w:rPr>
        <w:t>jednou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denně</w:t>
      </w:r>
      <w:proofErr w:type="spellEnd"/>
      <w:r w:rsidRPr="00331C1E">
        <w:rPr>
          <w:szCs w:val="22"/>
        </w:rPr>
        <w:t xml:space="preserve">. </w:t>
      </w:r>
      <w:proofErr w:type="spellStart"/>
      <w:r w:rsidR="00176A8C" w:rsidRPr="00331C1E">
        <w:rPr>
          <w:i/>
          <w:iCs/>
          <w:szCs w:val="22"/>
        </w:rPr>
        <w:t>Pediatrická</w:t>
      </w:r>
      <w:proofErr w:type="spellEnd"/>
      <w:r w:rsidR="00176A8C" w:rsidRPr="00331C1E">
        <w:rPr>
          <w:i/>
          <w:iCs/>
          <w:szCs w:val="22"/>
        </w:rPr>
        <w:t xml:space="preserve"> populace (10 let a </w:t>
      </w:r>
      <w:proofErr w:type="spellStart"/>
      <w:r w:rsidR="00176A8C" w:rsidRPr="00331C1E">
        <w:rPr>
          <w:i/>
          <w:iCs/>
          <w:szCs w:val="22"/>
        </w:rPr>
        <w:t>starší</w:t>
      </w:r>
      <w:proofErr w:type="spellEnd"/>
      <w:r w:rsidR="00176A8C" w:rsidRPr="00331C1E">
        <w:rPr>
          <w:i/>
          <w:iCs/>
          <w:szCs w:val="22"/>
        </w:rPr>
        <w:t xml:space="preserve">): </w:t>
      </w:r>
      <w:r w:rsidR="00176A8C" w:rsidRPr="00331C1E">
        <w:rPr>
          <w:szCs w:val="22"/>
        </w:rPr>
        <w:t xml:space="preserve">U </w:t>
      </w:r>
      <w:proofErr w:type="spellStart"/>
      <w:r w:rsidR="00176A8C" w:rsidRPr="00331C1E">
        <w:rPr>
          <w:szCs w:val="22"/>
        </w:rPr>
        <w:t>pediatrických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pacientů</w:t>
      </w:r>
      <w:proofErr w:type="spellEnd"/>
      <w:r w:rsidR="00176A8C" w:rsidRPr="00331C1E">
        <w:rPr>
          <w:szCs w:val="22"/>
        </w:rPr>
        <w:t xml:space="preserve"> (</w:t>
      </w:r>
      <w:proofErr w:type="spellStart"/>
      <w:r w:rsidR="00176A8C" w:rsidRPr="00331C1E">
        <w:rPr>
          <w:szCs w:val="22"/>
        </w:rPr>
        <w:t>ve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věku</w:t>
      </w:r>
      <w:proofErr w:type="spellEnd"/>
      <w:r w:rsidR="00176A8C" w:rsidRPr="00331C1E">
        <w:rPr>
          <w:szCs w:val="22"/>
        </w:rPr>
        <w:t xml:space="preserve"> 10 let a </w:t>
      </w:r>
      <w:proofErr w:type="spellStart"/>
      <w:r w:rsidR="00176A8C" w:rsidRPr="00331C1E">
        <w:rPr>
          <w:szCs w:val="22"/>
        </w:rPr>
        <w:t>výše</w:t>
      </w:r>
      <w:proofErr w:type="spellEnd"/>
      <w:r w:rsidR="00176A8C" w:rsidRPr="00331C1E">
        <w:rPr>
          <w:szCs w:val="22"/>
        </w:rPr>
        <w:t xml:space="preserve">) </w:t>
      </w:r>
      <w:proofErr w:type="spellStart"/>
      <w:r w:rsidR="00176A8C" w:rsidRPr="00331C1E">
        <w:rPr>
          <w:szCs w:val="22"/>
        </w:rPr>
        <w:t>závisí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doporučená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dávka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na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tělesné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hmotnosti</w:t>
      </w:r>
      <w:proofErr w:type="spellEnd"/>
      <w:r w:rsidR="00176A8C" w:rsidRPr="00331C1E">
        <w:rPr>
          <w:szCs w:val="22"/>
        </w:rPr>
        <w:t>:</w:t>
      </w:r>
      <w:bookmarkStart w:id="0" w:name="_Hlk69390421"/>
      <w:r w:rsidR="00176A8C" w:rsidRPr="00331C1E">
        <w:rPr>
          <w:i/>
          <w:iCs/>
          <w:szCs w:val="22"/>
        </w:rPr>
        <w:t xml:space="preserve"> </w:t>
      </w:r>
      <w:proofErr w:type="spellStart"/>
      <w:r w:rsidR="00176A8C" w:rsidRPr="00331C1E">
        <w:rPr>
          <w:szCs w:val="22"/>
        </w:rPr>
        <w:t>pediatričtí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pacienti</w:t>
      </w:r>
      <w:proofErr w:type="spellEnd"/>
      <w:r w:rsidR="00176A8C" w:rsidRPr="00331C1E">
        <w:rPr>
          <w:szCs w:val="22"/>
        </w:rPr>
        <w:t xml:space="preserve"> s </w:t>
      </w:r>
      <w:proofErr w:type="spellStart"/>
      <w:r w:rsidR="00176A8C" w:rsidRPr="00331C1E">
        <w:rPr>
          <w:szCs w:val="22"/>
        </w:rPr>
        <w:t>tělesnou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hmotností</w:t>
      </w:r>
      <w:proofErr w:type="spellEnd"/>
      <w:r w:rsidR="00176A8C" w:rsidRPr="00331C1E">
        <w:rPr>
          <w:szCs w:val="22"/>
        </w:rPr>
        <w:t xml:space="preserve"> </w:t>
      </w:r>
      <w:bookmarkEnd w:id="0"/>
      <w:r w:rsidR="00176A8C" w:rsidRPr="00331C1E">
        <w:rPr>
          <w:szCs w:val="22"/>
        </w:rPr>
        <w:t xml:space="preserve">&gt;40 kg: 14 mg </w:t>
      </w:r>
      <w:proofErr w:type="spellStart"/>
      <w:r w:rsidR="00176A8C" w:rsidRPr="00331C1E">
        <w:rPr>
          <w:szCs w:val="22"/>
        </w:rPr>
        <w:t>jednou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denně</w:t>
      </w:r>
      <w:proofErr w:type="spellEnd"/>
      <w:r w:rsidR="00176A8C" w:rsidRPr="00331C1E">
        <w:rPr>
          <w:szCs w:val="22"/>
        </w:rPr>
        <w:t xml:space="preserve">, </w:t>
      </w:r>
      <w:proofErr w:type="spellStart"/>
      <w:r w:rsidR="00176A8C" w:rsidRPr="00331C1E">
        <w:rPr>
          <w:szCs w:val="22"/>
        </w:rPr>
        <w:t>pediatričtí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pacienti</w:t>
      </w:r>
      <w:proofErr w:type="spellEnd"/>
      <w:r w:rsidR="00176A8C" w:rsidRPr="00331C1E">
        <w:rPr>
          <w:szCs w:val="22"/>
        </w:rPr>
        <w:t xml:space="preserve"> s </w:t>
      </w:r>
      <w:proofErr w:type="spellStart"/>
      <w:r w:rsidR="00176A8C" w:rsidRPr="00331C1E">
        <w:rPr>
          <w:szCs w:val="22"/>
        </w:rPr>
        <w:t>tělesnou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hmotností</w:t>
      </w:r>
      <w:proofErr w:type="spellEnd"/>
      <w:r w:rsidR="00176A8C" w:rsidRPr="00331C1E">
        <w:rPr>
          <w:szCs w:val="22"/>
        </w:rPr>
        <w:t xml:space="preserve"> ≤40 kg: 7 mg </w:t>
      </w:r>
      <w:proofErr w:type="spellStart"/>
      <w:r w:rsidR="00176A8C" w:rsidRPr="00331C1E">
        <w:rPr>
          <w:szCs w:val="22"/>
        </w:rPr>
        <w:t>jednou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denně</w:t>
      </w:r>
      <w:proofErr w:type="spellEnd"/>
      <w:r w:rsidR="00176A8C" w:rsidRPr="00331C1E">
        <w:rPr>
          <w:szCs w:val="22"/>
        </w:rPr>
        <w:t>.</w:t>
      </w:r>
      <w:r w:rsidR="00176A8C" w:rsidRPr="00331C1E">
        <w:rPr>
          <w:i/>
          <w:iCs/>
          <w:szCs w:val="22"/>
        </w:rPr>
        <w:t xml:space="preserve"> </w:t>
      </w:r>
      <w:proofErr w:type="spellStart"/>
      <w:r w:rsidR="00176A8C" w:rsidRPr="00331C1E">
        <w:rPr>
          <w:szCs w:val="22"/>
        </w:rPr>
        <w:t>Pediatričtí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pacienti</w:t>
      </w:r>
      <w:proofErr w:type="spellEnd"/>
      <w:r w:rsidR="00176A8C" w:rsidRPr="00331C1E">
        <w:rPr>
          <w:szCs w:val="22"/>
        </w:rPr>
        <w:t xml:space="preserve">, </w:t>
      </w:r>
      <w:proofErr w:type="spellStart"/>
      <w:r w:rsidR="00176A8C" w:rsidRPr="00331C1E">
        <w:rPr>
          <w:szCs w:val="22"/>
        </w:rPr>
        <w:t>kteří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dosáhnou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stabilní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tělesné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hmotnosti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vyšší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než</w:t>
      </w:r>
      <w:proofErr w:type="spellEnd"/>
      <w:r w:rsidR="00176A8C" w:rsidRPr="00331C1E">
        <w:rPr>
          <w:szCs w:val="22"/>
        </w:rPr>
        <w:t xml:space="preserve"> 40 kg, by </w:t>
      </w:r>
      <w:proofErr w:type="spellStart"/>
      <w:r w:rsidR="00176A8C" w:rsidRPr="00331C1E">
        <w:rPr>
          <w:szCs w:val="22"/>
        </w:rPr>
        <w:t>měli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být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převedeni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na</w:t>
      </w:r>
      <w:proofErr w:type="spellEnd"/>
      <w:r w:rsidR="00176A8C" w:rsidRPr="00331C1E">
        <w:rPr>
          <w:szCs w:val="22"/>
        </w:rPr>
        <w:t xml:space="preserve"> 14 mg </w:t>
      </w:r>
      <w:proofErr w:type="spellStart"/>
      <w:r w:rsidR="00176A8C" w:rsidRPr="00331C1E">
        <w:rPr>
          <w:szCs w:val="22"/>
        </w:rPr>
        <w:t>jednou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denně</w:t>
      </w:r>
      <w:proofErr w:type="spellEnd"/>
      <w:r w:rsidR="00176A8C" w:rsidRPr="00331C1E">
        <w:rPr>
          <w:szCs w:val="22"/>
        </w:rPr>
        <w:t xml:space="preserve">. </w:t>
      </w:r>
      <w:proofErr w:type="spellStart"/>
      <w:r w:rsidR="00176A8C" w:rsidRPr="00331C1E">
        <w:rPr>
          <w:i/>
          <w:szCs w:val="22"/>
        </w:rPr>
        <w:t>Pediatrická</w:t>
      </w:r>
      <w:proofErr w:type="spellEnd"/>
      <w:r w:rsidR="00176A8C" w:rsidRPr="00331C1E">
        <w:rPr>
          <w:i/>
          <w:szCs w:val="22"/>
        </w:rPr>
        <w:t xml:space="preserve"> populace (</w:t>
      </w:r>
      <w:proofErr w:type="spellStart"/>
      <w:r w:rsidR="00176A8C" w:rsidRPr="00331C1E">
        <w:rPr>
          <w:i/>
          <w:szCs w:val="22"/>
        </w:rPr>
        <w:t>mladší</w:t>
      </w:r>
      <w:proofErr w:type="spellEnd"/>
      <w:r w:rsidR="00176A8C" w:rsidRPr="00331C1E">
        <w:rPr>
          <w:i/>
          <w:szCs w:val="22"/>
        </w:rPr>
        <w:t xml:space="preserve"> </w:t>
      </w:r>
      <w:proofErr w:type="spellStart"/>
      <w:r w:rsidR="00176A8C" w:rsidRPr="00331C1E">
        <w:rPr>
          <w:i/>
          <w:szCs w:val="22"/>
        </w:rPr>
        <w:t>než</w:t>
      </w:r>
      <w:proofErr w:type="spellEnd"/>
      <w:r w:rsidR="00176A8C" w:rsidRPr="00331C1E">
        <w:rPr>
          <w:i/>
          <w:szCs w:val="22"/>
        </w:rPr>
        <w:t xml:space="preserve"> 10 let)</w:t>
      </w:r>
      <w:r w:rsidR="00E113D8" w:rsidRPr="00331C1E">
        <w:rPr>
          <w:szCs w:val="22"/>
        </w:rPr>
        <w:t xml:space="preserve">- </w:t>
      </w:r>
      <w:proofErr w:type="spellStart"/>
      <w:r w:rsidR="00E113D8" w:rsidRPr="00331C1E">
        <w:rPr>
          <w:szCs w:val="22"/>
        </w:rPr>
        <w:t>b</w:t>
      </w:r>
      <w:r w:rsidR="00176A8C" w:rsidRPr="00331C1E">
        <w:rPr>
          <w:szCs w:val="22"/>
        </w:rPr>
        <w:t>ezpečnost</w:t>
      </w:r>
      <w:proofErr w:type="spellEnd"/>
      <w:r w:rsidR="00176A8C" w:rsidRPr="00331C1E">
        <w:rPr>
          <w:szCs w:val="22"/>
        </w:rPr>
        <w:t xml:space="preserve"> a </w:t>
      </w:r>
      <w:proofErr w:type="spellStart"/>
      <w:r w:rsidR="00176A8C" w:rsidRPr="00331C1E">
        <w:rPr>
          <w:szCs w:val="22"/>
        </w:rPr>
        <w:t>účinnost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teriflunomidu</w:t>
      </w:r>
      <w:proofErr w:type="spellEnd"/>
      <w:r w:rsidR="00176A8C" w:rsidRPr="00331C1E">
        <w:rPr>
          <w:szCs w:val="22"/>
        </w:rPr>
        <w:t xml:space="preserve"> u </w:t>
      </w:r>
      <w:proofErr w:type="spellStart"/>
      <w:r w:rsidR="00176A8C" w:rsidRPr="00331C1E">
        <w:rPr>
          <w:szCs w:val="22"/>
        </w:rPr>
        <w:t>dětí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ve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věku</w:t>
      </w:r>
      <w:proofErr w:type="spellEnd"/>
      <w:r w:rsidR="00176A8C" w:rsidRPr="00331C1E">
        <w:rPr>
          <w:szCs w:val="22"/>
        </w:rPr>
        <w:t xml:space="preserve"> do 10 let </w:t>
      </w:r>
      <w:proofErr w:type="spellStart"/>
      <w:r w:rsidR="00176A8C" w:rsidRPr="00331C1E">
        <w:rPr>
          <w:szCs w:val="22"/>
        </w:rPr>
        <w:t>nebyla</w:t>
      </w:r>
      <w:proofErr w:type="spellEnd"/>
      <w:r w:rsidR="00176A8C" w:rsidRPr="00331C1E">
        <w:rPr>
          <w:szCs w:val="22"/>
        </w:rPr>
        <w:t xml:space="preserve"> </w:t>
      </w:r>
      <w:proofErr w:type="spellStart"/>
      <w:r w:rsidR="00176A8C" w:rsidRPr="00331C1E">
        <w:rPr>
          <w:szCs w:val="22"/>
        </w:rPr>
        <w:t>stanovena</w:t>
      </w:r>
      <w:proofErr w:type="spellEnd"/>
      <w:r w:rsidR="00176A8C" w:rsidRPr="00331C1E">
        <w:rPr>
          <w:szCs w:val="22"/>
        </w:rPr>
        <w:t xml:space="preserve">. </w:t>
      </w:r>
      <w:proofErr w:type="spellStart"/>
      <w:r w:rsidRPr="00331C1E">
        <w:rPr>
          <w:i/>
          <w:szCs w:val="22"/>
        </w:rPr>
        <w:t>Porucha</w:t>
      </w:r>
      <w:proofErr w:type="spellEnd"/>
      <w:r w:rsidRPr="00331C1E">
        <w:rPr>
          <w:i/>
          <w:szCs w:val="22"/>
        </w:rPr>
        <w:t xml:space="preserve"> </w:t>
      </w:r>
      <w:proofErr w:type="spellStart"/>
      <w:r w:rsidRPr="00331C1E">
        <w:rPr>
          <w:i/>
          <w:szCs w:val="22"/>
        </w:rPr>
        <w:t>funkce</w:t>
      </w:r>
      <w:proofErr w:type="spellEnd"/>
      <w:r w:rsidRPr="00331C1E">
        <w:rPr>
          <w:i/>
          <w:szCs w:val="22"/>
        </w:rPr>
        <w:t xml:space="preserve"> </w:t>
      </w:r>
      <w:proofErr w:type="spellStart"/>
      <w:r w:rsidRPr="00331C1E">
        <w:rPr>
          <w:i/>
          <w:szCs w:val="22"/>
        </w:rPr>
        <w:t>jater</w:t>
      </w:r>
      <w:proofErr w:type="spellEnd"/>
      <w:r w:rsidRPr="00331C1E">
        <w:rPr>
          <w:szCs w:val="22"/>
        </w:rPr>
        <w:t xml:space="preserve">: </w:t>
      </w:r>
      <w:proofErr w:type="spellStart"/>
      <w:r w:rsidRPr="00331C1E">
        <w:rPr>
          <w:szCs w:val="22"/>
        </w:rPr>
        <w:t>Teriflunomid</w:t>
      </w:r>
      <w:proofErr w:type="spellEnd"/>
      <w:r w:rsidRPr="00331C1E">
        <w:rPr>
          <w:szCs w:val="22"/>
        </w:rPr>
        <w:t xml:space="preserve"> je </w:t>
      </w:r>
      <w:proofErr w:type="spellStart"/>
      <w:r w:rsidRPr="00331C1E">
        <w:rPr>
          <w:szCs w:val="22"/>
        </w:rPr>
        <w:t>kontraindikován</w:t>
      </w:r>
      <w:proofErr w:type="spellEnd"/>
      <w:r w:rsidRPr="00331C1E">
        <w:rPr>
          <w:szCs w:val="22"/>
        </w:rPr>
        <w:t xml:space="preserve"> u </w:t>
      </w:r>
      <w:proofErr w:type="spellStart"/>
      <w:r w:rsidRPr="00331C1E">
        <w:rPr>
          <w:szCs w:val="22"/>
        </w:rPr>
        <w:t>pacientů</w:t>
      </w:r>
      <w:proofErr w:type="spellEnd"/>
      <w:r w:rsidRPr="00331C1E">
        <w:rPr>
          <w:szCs w:val="22"/>
        </w:rPr>
        <w:t xml:space="preserve"> s </w:t>
      </w:r>
      <w:proofErr w:type="spellStart"/>
      <w:r w:rsidRPr="00331C1E">
        <w:rPr>
          <w:szCs w:val="22"/>
        </w:rPr>
        <w:t>těžkou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poruchou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jater</w:t>
      </w:r>
      <w:proofErr w:type="spellEnd"/>
      <w:r w:rsidRPr="00331C1E">
        <w:rPr>
          <w:szCs w:val="22"/>
        </w:rPr>
        <w:t>.</w:t>
      </w:r>
      <w:r w:rsidRPr="00331C1E">
        <w:rPr>
          <w:i/>
          <w:szCs w:val="22"/>
        </w:rPr>
        <w:t xml:space="preserve"> </w:t>
      </w:r>
      <w:proofErr w:type="spellStart"/>
      <w:r w:rsidRPr="00331C1E">
        <w:rPr>
          <w:szCs w:val="22"/>
          <w:u w:val="single"/>
        </w:rPr>
        <w:t>Způsob</w:t>
      </w:r>
      <w:proofErr w:type="spellEnd"/>
      <w:r w:rsidRPr="00331C1E">
        <w:rPr>
          <w:szCs w:val="22"/>
          <w:u w:val="single"/>
        </w:rPr>
        <w:t xml:space="preserve"> </w:t>
      </w:r>
      <w:proofErr w:type="spellStart"/>
      <w:r w:rsidRPr="00331C1E">
        <w:rPr>
          <w:szCs w:val="22"/>
          <w:u w:val="single"/>
        </w:rPr>
        <w:t>podání</w:t>
      </w:r>
      <w:proofErr w:type="spellEnd"/>
      <w:r w:rsidRPr="00331C1E">
        <w:rPr>
          <w:szCs w:val="22"/>
        </w:rPr>
        <w:t xml:space="preserve">: </w:t>
      </w:r>
      <w:proofErr w:type="spellStart"/>
      <w:r w:rsidRPr="00331C1E">
        <w:rPr>
          <w:szCs w:val="22"/>
        </w:rPr>
        <w:t>Tablety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jsou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určeny</w:t>
      </w:r>
      <w:proofErr w:type="spellEnd"/>
      <w:r w:rsidRPr="00331C1E">
        <w:rPr>
          <w:szCs w:val="22"/>
        </w:rPr>
        <w:t xml:space="preserve"> k </w:t>
      </w:r>
      <w:proofErr w:type="spellStart"/>
      <w:r w:rsidRPr="00331C1E">
        <w:rPr>
          <w:szCs w:val="22"/>
        </w:rPr>
        <w:t>perorálnímu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podání</w:t>
      </w:r>
      <w:proofErr w:type="spellEnd"/>
      <w:r w:rsidRPr="00331C1E">
        <w:rPr>
          <w:szCs w:val="22"/>
        </w:rPr>
        <w:t xml:space="preserve">, je </w:t>
      </w:r>
      <w:proofErr w:type="spellStart"/>
      <w:r w:rsidRPr="00331C1E">
        <w:rPr>
          <w:szCs w:val="22"/>
        </w:rPr>
        <w:t>třeba</w:t>
      </w:r>
      <w:proofErr w:type="spellEnd"/>
      <w:r w:rsidRPr="00331C1E">
        <w:rPr>
          <w:szCs w:val="22"/>
        </w:rPr>
        <w:t xml:space="preserve"> je </w:t>
      </w:r>
      <w:proofErr w:type="spellStart"/>
      <w:r w:rsidRPr="00331C1E">
        <w:rPr>
          <w:szCs w:val="22"/>
        </w:rPr>
        <w:t>polknout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vcelku</w:t>
      </w:r>
      <w:proofErr w:type="spellEnd"/>
      <w:r w:rsidRPr="00331C1E">
        <w:rPr>
          <w:szCs w:val="22"/>
        </w:rPr>
        <w:t xml:space="preserve"> a </w:t>
      </w:r>
      <w:proofErr w:type="spellStart"/>
      <w:r w:rsidRPr="00331C1E">
        <w:rPr>
          <w:szCs w:val="22"/>
        </w:rPr>
        <w:t>zapít</w:t>
      </w:r>
      <w:proofErr w:type="spellEnd"/>
      <w:r w:rsidRPr="00331C1E">
        <w:rPr>
          <w:szCs w:val="22"/>
        </w:rPr>
        <w:t xml:space="preserve"> vodou.</w:t>
      </w:r>
      <w:r w:rsidR="00607A7B" w:rsidRPr="00331C1E">
        <w:rPr>
          <w:szCs w:val="22"/>
        </w:rPr>
        <w:t xml:space="preserve"> </w:t>
      </w:r>
      <w:proofErr w:type="spellStart"/>
      <w:r w:rsidR="00607A7B" w:rsidRPr="00331C1E">
        <w:rPr>
          <w:szCs w:val="22"/>
        </w:rPr>
        <w:t>Lze</w:t>
      </w:r>
      <w:proofErr w:type="spellEnd"/>
      <w:r w:rsidR="00607A7B" w:rsidRPr="00331C1E">
        <w:rPr>
          <w:szCs w:val="22"/>
        </w:rPr>
        <w:t xml:space="preserve"> </w:t>
      </w:r>
      <w:proofErr w:type="spellStart"/>
      <w:r w:rsidR="00607A7B" w:rsidRPr="00331C1E">
        <w:rPr>
          <w:szCs w:val="22"/>
        </w:rPr>
        <w:t>užívat</w:t>
      </w:r>
      <w:proofErr w:type="spellEnd"/>
      <w:r w:rsidR="00607A7B" w:rsidRPr="00331C1E">
        <w:rPr>
          <w:szCs w:val="22"/>
        </w:rPr>
        <w:t xml:space="preserve"> s </w:t>
      </w:r>
      <w:proofErr w:type="spellStart"/>
      <w:r w:rsidR="00607A7B" w:rsidRPr="00331C1E">
        <w:rPr>
          <w:szCs w:val="22"/>
        </w:rPr>
        <w:t>jídlem</w:t>
      </w:r>
      <w:proofErr w:type="spellEnd"/>
      <w:r w:rsidR="00607A7B" w:rsidRPr="00331C1E">
        <w:rPr>
          <w:szCs w:val="22"/>
        </w:rPr>
        <w:t xml:space="preserve"> </w:t>
      </w:r>
      <w:proofErr w:type="spellStart"/>
      <w:r w:rsidR="00607A7B" w:rsidRPr="00331C1E">
        <w:rPr>
          <w:szCs w:val="22"/>
        </w:rPr>
        <w:t>nebo</w:t>
      </w:r>
      <w:proofErr w:type="spellEnd"/>
      <w:r w:rsidR="00607A7B" w:rsidRPr="00331C1E">
        <w:rPr>
          <w:szCs w:val="22"/>
        </w:rPr>
        <w:t xml:space="preserve"> </w:t>
      </w:r>
      <w:proofErr w:type="spellStart"/>
      <w:r w:rsidR="00607A7B" w:rsidRPr="00331C1E">
        <w:rPr>
          <w:szCs w:val="22"/>
        </w:rPr>
        <w:t>samostatně</w:t>
      </w:r>
      <w:proofErr w:type="spellEnd"/>
      <w:r w:rsidR="00607A7B" w:rsidRPr="00331C1E">
        <w:rPr>
          <w:szCs w:val="22"/>
        </w:rPr>
        <w:t>.</w:t>
      </w:r>
      <w:r w:rsidRPr="00331C1E">
        <w:rPr>
          <w:szCs w:val="22"/>
        </w:rPr>
        <w:t xml:space="preserve"> </w:t>
      </w:r>
      <w:proofErr w:type="spellStart"/>
      <w:r w:rsidRPr="00331C1E">
        <w:rPr>
          <w:b/>
          <w:szCs w:val="22"/>
        </w:rPr>
        <w:t>Kontraindikace</w:t>
      </w:r>
      <w:proofErr w:type="spellEnd"/>
      <w:r w:rsidRPr="00331C1E">
        <w:rPr>
          <w:b/>
          <w:szCs w:val="22"/>
        </w:rPr>
        <w:t>:</w:t>
      </w:r>
      <w:r w:rsidRPr="00331C1E" w:rsidDel="00D86C74">
        <w:rPr>
          <w:b/>
          <w:szCs w:val="22"/>
        </w:rPr>
        <w:t xml:space="preserve"> </w:t>
      </w:r>
      <w:proofErr w:type="spellStart"/>
      <w:r w:rsidRPr="00331C1E">
        <w:rPr>
          <w:szCs w:val="22"/>
        </w:rPr>
        <w:t>Hypersenzitivita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na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léčivou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látku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nebo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na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kteroukoli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pomocnou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látku</w:t>
      </w:r>
      <w:proofErr w:type="spellEnd"/>
      <w:r w:rsidRPr="00331C1E">
        <w:rPr>
          <w:szCs w:val="22"/>
        </w:rPr>
        <w:t xml:space="preserve">. </w:t>
      </w:r>
      <w:proofErr w:type="spellStart"/>
      <w:r w:rsidRPr="00331C1E">
        <w:rPr>
          <w:szCs w:val="22"/>
        </w:rPr>
        <w:t>Pacienti</w:t>
      </w:r>
      <w:proofErr w:type="spellEnd"/>
      <w:r w:rsidRPr="00331C1E">
        <w:rPr>
          <w:szCs w:val="22"/>
        </w:rPr>
        <w:t xml:space="preserve"> s </w:t>
      </w:r>
      <w:proofErr w:type="spellStart"/>
      <w:r w:rsidRPr="00331C1E">
        <w:rPr>
          <w:szCs w:val="22"/>
        </w:rPr>
        <w:t>těžkou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poruchou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funkce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jater</w:t>
      </w:r>
      <w:proofErr w:type="spellEnd"/>
      <w:r w:rsidRPr="00331C1E">
        <w:rPr>
          <w:szCs w:val="22"/>
        </w:rPr>
        <w:t xml:space="preserve"> (Child-Pugh </w:t>
      </w:r>
      <w:proofErr w:type="spellStart"/>
      <w:r w:rsidRPr="00331C1E">
        <w:rPr>
          <w:szCs w:val="22"/>
        </w:rPr>
        <w:t>třídy</w:t>
      </w:r>
      <w:proofErr w:type="spellEnd"/>
      <w:r w:rsidRPr="00331C1E">
        <w:rPr>
          <w:szCs w:val="22"/>
        </w:rPr>
        <w:t xml:space="preserve"> C). </w:t>
      </w:r>
      <w:proofErr w:type="spellStart"/>
      <w:r w:rsidRPr="00331C1E">
        <w:rPr>
          <w:szCs w:val="22"/>
        </w:rPr>
        <w:t>Těhotné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ženy</w:t>
      </w:r>
      <w:proofErr w:type="spellEnd"/>
      <w:r w:rsidRPr="00331C1E">
        <w:rPr>
          <w:szCs w:val="22"/>
        </w:rPr>
        <w:t xml:space="preserve"> a </w:t>
      </w:r>
      <w:proofErr w:type="spellStart"/>
      <w:r w:rsidRPr="00331C1E">
        <w:rPr>
          <w:szCs w:val="22"/>
        </w:rPr>
        <w:t>ženy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ve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fertilním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věku</w:t>
      </w:r>
      <w:proofErr w:type="spellEnd"/>
      <w:r w:rsidRPr="00331C1E">
        <w:rPr>
          <w:szCs w:val="22"/>
        </w:rPr>
        <w:t xml:space="preserve">, </w:t>
      </w:r>
      <w:proofErr w:type="spellStart"/>
      <w:r w:rsidRPr="00331C1E">
        <w:rPr>
          <w:szCs w:val="22"/>
        </w:rPr>
        <w:t>které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během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léčby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teriflunomidem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nepoužívají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spolehlivou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antikoncepci</w:t>
      </w:r>
      <w:proofErr w:type="spellEnd"/>
      <w:r w:rsidRPr="00331C1E">
        <w:rPr>
          <w:szCs w:val="22"/>
        </w:rPr>
        <w:t xml:space="preserve">. </w:t>
      </w:r>
      <w:proofErr w:type="spellStart"/>
      <w:r w:rsidRPr="00331C1E">
        <w:rPr>
          <w:szCs w:val="22"/>
        </w:rPr>
        <w:t>Před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začátkem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léčby</w:t>
      </w:r>
      <w:proofErr w:type="spellEnd"/>
      <w:r w:rsidRPr="00331C1E">
        <w:rPr>
          <w:szCs w:val="22"/>
        </w:rPr>
        <w:t xml:space="preserve"> je </w:t>
      </w:r>
      <w:proofErr w:type="spellStart"/>
      <w:r w:rsidRPr="00331C1E">
        <w:rPr>
          <w:szCs w:val="22"/>
        </w:rPr>
        <w:t>nutné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vyloučit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těhotenství</w:t>
      </w:r>
      <w:proofErr w:type="spellEnd"/>
      <w:r w:rsidRPr="00331C1E">
        <w:rPr>
          <w:szCs w:val="22"/>
        </w:rPr>
        <w:t xml:space="preserve">. </w:t>
      </w:r>
      <w:proofErr w:type="spellStart"/>
      <w:r w:rsidRPr="00331C1E">
        <w:rPr>
          <w:szCs w:val="22"/>
        </w:rPr>
        <w:t>Kojící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ženy</w:t>
      </w:r>
      <w:proofErr w:type="spellEnd"/>
      <w:r w:rsidRPr="00331C1E">
        <w:rPr>
          <w:szCs w:val="22"/>
        </w:rPr>
        <w:t xml:space="preserve">. </w:t>
      </w:r>
      <w:proofErr w:type="spellStart"/>
      <w:r w:rsidRPr="00331C1E">
        <w:rPr>
          <w:szCs w:val="22"/>
        </w:rPr>
        <w:t>Pacienti</w:t>
      </w:r>
      <w:proofErr w:type="spellEnd"/>
      <w:r w:rsidRPr="00331C1E">
        <w:rPr>
          <w:szCs w:val="22"/>
        </w:rPr>
        <w:t xml:space="preserve"> se </w:t>
      </w:r>
      <w:proofErr w:type="spellStart"/>
      <w:r w:rsidRPr="00331C1E">
        <w:rPr>
          <w:szCs w:val="22"/>
        </w:rPr>
        <w:t>závažnými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imunodeficitními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stavy</w:t>
      </w:r>
      <w:proofErr w:type="spellEnd"/>
      <w:r w:rsidRPr="00331C1E">
        <w:rPr>
          <w:szCs w:val="22"/>
        </w:rPr>
        <w:t>, s </w:t>
      </w:r>
      <w:proofErr w:type="spellStart"/>
      <w:r w:rsidRPr="00331C1E">
        <w:rPr>
          <w:szCs w:val="22"/>
        </w:rPr>
        <w:t>významně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narušenou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funkcí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kostní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dřeně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nebo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významnou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anémií</w:t>
      </w:r>
      <w:proofErr w:type="spellEnd"/>
      <w:r w:rsidRPr="00331C1E">
        <w:rPr>
          <w:szCs w:val="22"/>
        </w:rPr>
        <w:t xml:space="preserve">, </w:t>
      </w:r>
      <w:proofErr w:type="spellStart"/>
      <w:r w:rsidRPr="00331C1E">
        <w:rPr>
          <w:szCs w:val="22"/>
        </w:rPr>
        <w:t>leukopenií</w:t>
      </w:r>
      <w:proofErr w:type="spellEnd"/>
      <w:r w:rsidRPr="00331C1E">
        <w:rPr>
          <w:szCs w:val="22"/>
        </w:rPr>
        <w:t xml:space="preserve">, </w:t>
      </w:r>
      <w:proofErr w:type="spellStart"/>
      <w:r w:rsidRPr="00331C1E">
        <w:rPr>
          <w:szCs w:val="22"/>
        </w:rPr>
        <w:t>neutropenií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nebo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trombocytopenií</w:t>
      </w:r>
      <w:proofErr w:type="spellEnd"/>
      <w:r w:rsidRPr="00331C1E">
        <w:rPr>
          <w:szCs w:val="22"/>
        </w:rPr>
        <w:t xml:space="preserve">, se </w:t>
      </w:r>
      <w:proofErr w:type="spellStart"/>
      <w:r w:rsidRPr="00331C1E">
        <w:rPr>
          <w:szCs w:val="22"/>
        </w:rPr>
        <w:t>závažnou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aktivní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infekcí</w:t>
      </w:r>
      <w:proofErr w:type="spellEnd"/>
      <w:r w:rsidRPr="00331C1E">
        <w:rPr>
          <w:szCs w:val="22"/>
        </w:rPr>
        <w:t xml:space="preserve">, a to </w:t>
      </w:r>
      <w:proofErr w:type="spellStart"/>
      <w:r w:rsidRPr="00331C1E">
        <w:rPr>
          <w:szCs w:val="22"/>
        </w:rPr>
        <w:t>až</w:t>
      </w:r>
      <w:proofErr w:type="spellEnd"/>
      <w:r w:rsidRPr="00331C1E">
        <w:rPr>
          <w:szCs w:val="22"/>
        </w:rPr>
        <w:t xml:space="preserve"> do </w:t>
      </w:r>
      <w:proofErr w:type="spellStart"/>
      <w:r w:rsidRPr="00331C1E">
        <w:rPr>
          <w:szCs w:val="22"/>
        </w:rPr>
        <w:t>vyléčení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tohoto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stavu</w:t>
      </w:r>
      <w:proofErr w:type="spellEnd"/>
      <w:r w:rsidRPr="00331C1E">
        <w:rPr>
          <w:szCs w:val="22"/>
        </w:rPr>
        <w:t xml:space="preserve">. </w:t>
      </w:r>
      <w:proofErr w:type="spellStart"/>
      <w:r w:rsidRPr="00331C1E">
        <w:rPr>
          <w:szCs w:val="22"/>
        </w:rPr>
        <w:t>Pacienti</w:t>
      </w:r>
      <w:proofErr w:type="spellEnd"/>
      <w:r w:rsidRPr="00331C1E">
        <w:rPr>
          <w:szCs w:val="22"/>
        </w:rPr>
        <w:t xml:space="preserve"> s</w:t>
      </w:r>
      <w:r w:rsidR="00CA280E" w:rsidRPr="00331C1E">
        <w:rPr>
          <w:szCs w:val="22"/>
        </w:rPr>
        <w:t xml:space="preserve"> </w:t>
      </w:r>
      <w:proofErr w:type="spellStart"/>
      <w:r w:rsidR="00CA280E" w:rsidRPr="00331C1E">
        <w:rPr>
          <w:szCs w:val="22"/>
        </w:rPr>
        <w:t>těžkou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poruchou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funkce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ledvin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podstupující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dialýzu</w:t>
      </w:r>
      <w:proofErr w:type="spellEnd"/>
      <w:r w:rsidRPr="00331C1E">
        <w:rPr>
          <w:szCs w:val="22"/>
        </w:rPr>
        <w:t xml:space="preserve">, </w:t>
      </w:r>
      <w:proofErr w:type="spellStart"/>
      <w:r w:rsidRPr="00331C1E">
        <w:rPr>
          <w:szCs w:val="22"/>
        </w:rPr>
        <w:t>závažnou</w:t>
      </w:r>
      <w:proofErr w:type="spellEnd"/>
      <w:r w:rsidRPr="00331C1E">
        <w:rPr>
          <w:szCs w:val="22"/>
        </w:rPr>
        <w:t xml:space="preserve"> </w:t>
      </w:r>
      <w:proofErr w:type="spellStart"/>
      <w:r w:rsidRPr="00331C1E">
        <w:rPr>
          <w:szCs w:val="22"/>
        </w:rPr>
        <w:t>hypoproteinemií</w:t>
      </w:r>
      <w:proofErr w:type="spellEnd"/>
      <w:r w:rsidRPr="00331C1E">
        <w:rPr>
          <w:szCs w:val="22"/>
        </w:rPr>
        <w:t>.</w:t>
      </w:r>
      <w:r w:rsidRPr="00331C1E" w:rsidDel="00D86C74">
        <w:rPr>
          <w:szCs w:val="22"/>
        </w:rPr>
        <w:t xml:space="preserve"> </w:t>
      </w:r>
      <w:r w:rsidRPr="00331C1E">
        <w:rPr>
          <w:b/>
          <w:szCs w:val="22"/>
          <w:lang w:val="cs-CZ"/>
        </w:rPr>
        <w:t>Zvláštní upozornění a opatření:</w:t>
      </w:r>
      <w:r w:rsidRPr="00331C1E">
        <w:rPr>
          <w:szCs w:val="22"/>
          <w:lang w:val="cs-CZ"/>
        </w:rPr>
        <w:t xml:space="preserve"> </w:t>
      </w:r>
      <w:r w:rsidRPr="00331C1E">
        <w:rPr>
          <w:szCs w:val="22"/>
          <w:u w:val="single"/>
          <w:lang w:val="cs-CZ"/>
        </w:rPr>
        <w:t>Monitorování</w:t>
      </w:r>
      <w:r w:rsidRPr="00331C1E">
        <w:rPr>
          <w:i/>
          <w:szCs w:val="22"/>
          <w:lang w:val="cs-CZ"/>
        </w:rPr>
        <w:t xml:space="preserve">: </w:t>
      </w:r>
      <w:r w:rsidRPr="00331C1E">
        <w:rPr>
          <w:szCs w:val="22"/>
          <w:lang w:val="cs-CZ"/>
        </w:rPr>
        <w:t xml:space="preserve">Před zahájením léčby a během </w:t>
      </w:r>
      <w:proofErr w:type="gramStart"/>
      <w:r w:rsidRPr="00331C1E">
        <w:rPr>
          <w:szCs w:val="22"/>
          <w:lang w:val="cs-CZ"/>
        </w:rPr>
        <w:t xml:space="preserve">léčby  </w:t>
      </w:r>
      <w:proofErr w:type="spellStart"/>
      <w:r w:rsidRPr="00331C1E">
        <w:rPr>
          <w:szCs w:val="22"/>
          <w:lang w:val="cs-CZ"/>
        </w:rPr>
        <w:t>teriflunomidem</w:t>
      </w:r>
      <w:proofErr w:type="spellEnd"/>
      <w:proofErr w:type="gramEnd"/>
      <w:r w:rsidRPr="00331C1E">
        <w:rPr>
          <w:szCs w:val="22"/>
          <w:lang w:val="cs-CZ"/>
        </w:rPr>
        <w:t xml:space="preserve"> je zapotřebí vyšetřit a monitorovat: krevní tlak, </w:t>
      </w:r>
      <w:proofErr w:type="spellStart"/>
      <w:r w:rsidRPr="00331C1E">
        <w:rPr>
          <w:szCs w:val="22"/>
          <w:lang w:val="cs-CZ"/>
        </w:rPr>
        <w:t>alaninaminotransferázu</w:t>
      </w:r>
      <w:proofErr w:type="spellEnd"/>
      <w:r w:rsidRPr="00331C1E">
        <w:rPr>
          <w:szCs w:val="22"/>
          <w:lang w:val="cs-CZ"/>
        </w:rPr>
        <w:t xml:space="preserve"> (ALT), úplný krevní obraz včetně diferenciálního počtu </w:t>
      </w:r>
      <w:r w:rsidR="00353124" w:rsidRPr="00331C1E">
        <w:rPr>
          <w:szCs w:val="22"/>
          <w:lang w:val="cs-CZ"/>
        </w:rPr>
        <w:t>leukocytů</w:t>
      </w:r>
      <w:r w:rsidRPr="00331C1E">
        <w:rPr>
          <w:szCs w:val="22"/>
          <w:lang w:val="cs-CZ"/>
        </w:rPr>
        <w:t xml:space="preserve"> a počtu </w:t>
      </w:r>
      <w:r w:rsidR="00353124" w:rsidRPr="00331C1E">
        <w:rPr>
          <w:szCs w:val="22"/>
          <w:lang w:val="cs-CZ"/>
        </w:rPr>
        <w:t>trombocytů</w:t>
      </w:r>
      <w:r w:rsidRPr="00331C1E">
        <w:rPr>
          <w:szCs w:val="22"/>
          <w:lang w:val="cs-CZ"/>
        </w:rPr>
        <w:t>.</w:t>
      </w:r>
      <w:r w:rsidR="00741B85" w:rsidRPr="00331C1E">
        <w:rPr>
          <w:szCs w:val="22"/>
          <w:lang w:val="cs-CZ"/>
        </w:rPr>
        <w:t xml:space="preserve"> </w:t>
      </w:r>
      <w:r w:rsidRPr="00331C1E">
        <w:rPr>
          <w:szCs w:val="22"/>
          <w:lang w:val="cs-CZ"/>
        </w:rPr>
        <w:t xml:space="preserve">Eliminace </w:t>
      </w:r>
      <w:proofErr w:type="spellStart"/>
      <w:r w:rsidRPr="00331C1E">
        <w:rPr>
          <w:szCs w:val="22"/>
          <w:lang w:val="cs-CZ"/>
        </w:rPr>
        <w:t>teriflunomidu</w:t>
      </w:r>
      <w:proofErr w:type="spellEnd"/>
      <w:r w:rsidRPr="00331C1E">
        <w:rPr>
          <w:szCs w:val="22"/>
          <w:lang w:val="cs-CZ"/>
        </w:rPr>
        <w:t xml:space="preserve"> z plazmy trvá v průměru 8 měsíců. Může však trvat až 2 roky. Po ukončení léčby </w:t>
      </w:r>
      <w:proofErr w:type="spellStart"/>
      <w:r w:rsidRPr="00331C1E">
        <w:rPr>
          <w:szCs w:val="22"/>
          <w:lang w:val="cs-CZ"/>
        </w:rPr>
        <w:t>teriflunomidem</w:t>
      </w:r>
      <w:proofErr w:type="spellEnd"/>
      <w:r w:rsidRPr="00331C1E">
        <w:rPr>
          <w:szCs w:val="22"/>
          <w:lang w:val="cs-CZ"/>
        </w:rPr>
        <w:t xml:space="preserve"> lze použít zrychlenou eliminaci.</w:t>
      </w:r>
      <w:r w:rsidR="00B61589" w:rsidRPr="00331C1E">
        <w:rPr>
          <w:szCs w:val="22"/>
          <w:lang w:val="cs-CZ"/>
        </w:rPr>
        <w:t xml:space="preserve"> Hladinu jaterních enzymů je nutné zkontrolovat minimálně každé čtyři týdny v prvních 6 měsících léčby a poté pravidelně.</w:t>
      </w:r>
      <w:r w:rsidR="009D3ED7" w:rsidRPr="00331C1E">
        <w:rPr>
          <w:szCs w:val="22"/>
          <w:lang w:val="cs-CZ"/>
        </w:rPr>
        <w:t xml:space="preserve"> </w:t>
      </w:r>
      <w:r w:rsidR="00B61589" w:rsidRPr="00331C1E">
        <w:rPr>
          <w:szCs w:val="22"/>
          <w:lang w:val="cs-CZ"/>
        </w:rPr>
        <w:t xml:space="preserve">Zvážit další sledování, pokud se přípravek AUBAGIO podává pacientům s již existující poruchou funkce jater spolu s jinými potenciálně </w:t>
      </w:r>
      <w:proofErr w:type="spellStart"/>
      <w:r w:rsidR="00B61589" w:rsidRPr="00331C1E">
        <w:rPr>
          <w:szCs w:val="22"/>
          <w:lang w:val="cs-CZ"/>
        </w:rPr>
        <w:t>hepatotoxickými</w:t>
      </w:r>
      <w:proofErr w:type="spellEnd"/>
      <w:r w:rsidR="00B61589" w:rsidRPr="00331C1E">
        <w:rPr>
          <w:szCs w:val="22"/>
          <w:lang w:val="cs-CZ"/>
        </w:rPr>
        <w:t xml:space="preserve"> léky nebo pokud je indikováno na základě klinických známek a příznaků, jakými může být např. nevysvětlená nauzea, zvracení, bolest břicha, únava, anorexie nebo ikterus a/nebo přítomnost tmavé moči. Hladina jaterních enzymů musí být zkontrolována každé dva týdny během prvních 6 měsíců léčby a poté minimálně každých 8 týdnů, po dobu alespoň 2 let od zahájení léčby. Při 2 až 3násobném zvýšení ALT nad horní hranici normy musí být hladina monitorována každý týden. </w:t>
      </w:r>
      <w:r w:rsidRPr="00331C1E">
        <w:rPr>
          <w:szCs w:val="22"/>
          <w:lang w:val="cs-CZ"/>
        </w:rPr>
        <w:t xml:space="preserve">Pokud existuje podezření na poškození jater, u závažných hematologických reakcí včetně </w:t>
      </w:r>
      <w:proofErr w:type="spellStart"/>
      <w:r w:rsidRPr="00331C1E">
        <w:rPr>
          <w:szCs w:val="22"/>
          <w:lang w:val="cs-CZ"/>
        </w:rPr>
        <w:t>pancytopenie</w:t>
      </w:r>
      <w:proofErr w:type="spellEnd"/>
      <w:r w:rsidRPr="00331C1E">
        <w:rPr>
          <w:szCs w:val="22"/>
          <w:lang w:val="cs-CZ"/>
        </w:rPr>
        <w:t xml:space="preserve"> nebo </w:t>
      </w:r>
      <w:r w:rsidRPr="00331C1E">
        <w:rPr>
          <w:lang w:val="cs-CZ"/>
        </w:rPr>
        <w:t>pokud se rozvine ulcerózní stomatitida nebo se objeví kožní a/nebo slizniční reakce s podezřením na možnost generalizace</w:t>
      </w:r>
      <w:r w:rsidR="00DD56AA" w:rsidRPr="00331C1E">
        <w:rPr>
          <w:lang w:val="cs-CZ"/>
        </w:rPr>
        <w:t>,</w:t>
      </w:r>
      <w:r w:rsidRPr="00331C1E">
        <w:rPr>
          <w:szCs w:val="22"/>
          <w:lang w:val="cs-CZ"/>
        </w:rPr>
        <w:t xml:space="preserve"> léčbu </w:t>
      </w:r>
      <w:proofErr w:type="spellStart"/>
      <w:r w:rsidRPr="00331C1E">
        <w:rPr>
          <w:szCs w:val="22"/>
          <w:lang w:val="cs-CZ"/>
        </w:rPr>
        <w:t>teriflunomidem</w:t>
      </w:r>
      <w:proofErr w:type="spellEnd"/>
      <w:r w:rsidRPr="00331C1E">
        <w:rPr>
          <w:szCs w:val="22"/>
          <w:lang w:val="cs-CZ"/>
        </w:rPr>
        <w:t xml:space="preserve"> je nutné ukončit</w:t>
      </w:r>
      <w:r w:rsidRPr="00331C1E">
        <w:rPr>
          <w:lang w:val="cs-CZ"/>
        </w:rPr>
        <w:t>.</w:t>
      </w:r>
      <w:r w:rsidRPr="00331C1E">
        <w:rPr>
          <w:szCs w:val="22"/>
          <w:lang w:val="cs-CZ"/>
        </w:rPr>
        <w:t xml:space="preserve"> </w:t>
      </w:r>
      <w:r w:rsidR="00581D1E" w:rsidRPr="00331C1E">
        <w:rPr>
          <w:szCs w:val="22"/>
          <w:lang w:val="cs-CZ"/>
        </w:rPr>
        <w:t xml:space="preserve">Riziko zvýšených jaterních enzymů při užívaní </w:t>
      </w:r>
      <w:proofErr w:type="spellStart"/>
      <w:r w:rsidR="00581D1E" w:rsidRPr="00331C1E">
        <w:rPr>
          <w:szCs w:val="22"/>
          <w:lang w:val="cs-CZ"/>
        </w:rPr>
        <w:t>teriflunomidu</w:t>
      </w:r>
      <w:proofErr w:type="spellEnd"/>
      <w:r w:rsidR="00581D1E" w:rsidRPr="00331C1E">
        <w:rPr>
          <w:szCs w:val="22"/>
          <w:lang w:val="cs-CZ"/>
        </w:rPr>
        <w:t xml:space="preserve"> může být vyšší u pacientů s již existujícím onemocněním </w:t>
      </w:r>
      <w:proofErr w:type="gramStart"/>
      <w:r w:rsidR="00581D1E" w:rsidRPr="00331C1E">
        <w:rPr>
          <w:szCs w:val="22"/>
          <w:lang w:val="cs-CZ"/>
        </w:rPr>
        <w:t>jater  a</w:t>
      </w:r>
      <w:proofErr w:type="gramEnd"/>
      <w:r w:rsidR="00581D1E" w:rsidRPr="00331C1E">
        <w:rPr>
          <w:szCs w:val="22"/>
          <w:lang w:val="cs-CZ"/>
        </w:rPr>
        <w:t>/nebo u pacientů konzumujících velké množství alkoholu,  proto je třeba pečlivě monitorovat, zda se u těchto pacientů nerozvíjejí známky jaterního onemocnění.</w:t>
      </w:r>
      <w:r w:rsidR="005432C3" w:rsidRPr="00331C1E">
        <w:rPr>
          <w:szCs w:val="22"/>
          <w:lang w:val="cs-CZ"/>
        </w:rPr>
        <w:t xml:space="preserve"> </w:t>
      </w:r>
      <w:proofErr w:type="spellStart"/>
      <w:r w:rsidRPr="00331C1E">
        <w:rPr>
          <w:szCs w:val="22"/>
          <w:lang w:val="cs-CZ"/>
        </w:rPr>
        <w:t>Teriflunomid</w:t>
      </w:r>
      <w:proofErr w:type="spellEnd"/>
      <w:r w:rsidRPr="00331C1E">
        <w:rPr>
          <w:szCs w:val="22"/>
          <w:lang w:val="cs-CZ"/>
        </w:rPr>
        <w:t xml:space="preserve"> se nemá používat u pacientů se závažnou </w:t>
      </w:r>
      <w:proofErr w:type="spellStart"/>
      <w:r w:rsidRPr="00331C1E">
        <w:rPr>
          <w:szCs w:val="22"/>
          <w:lang w:val="cs-CZ"/>
        </w:rPr>
        <w:t>hypoproteinemií</w:t>
      </w:r>
      <w:proofErr w:type="spellEnd"/>
      <w:r w:rsidRPr="00331C1E">
        <w:rPr>
          <w:szCs w:val="22"/>
          <w:lang w:val="cs-CZ"/>
        </w:rPr>
        <w:t>.</w:t>
      </w:r>
      <w:r w:rsidRPr="00331C1E" w:rsidDel="00E35268">
        <w:rPr>
          <w:szCs w:val="22"/>
          <w:lang w:val="cs-CZ"/>
        </w:rPr>
        <w:t xml:space="preserve"> </w:t>
      </w:r>
      <w:r w:rsidRPr="00331C1E">
        <w:rPr>
          <w:szCs w:val="22"/>
          <w:lang w:val="cs-CZ"/>
        </w:rPr>
        <w:t xml:space="preserve">Během léčby </w:t>
      </w:r>
      <w:proofErr w:type="spellStart"/>
      <w:r w:rsidRPr="00331C1E">
        <w:rPr>
          <w:szCs w:val="22"/>
          <w:lang w:val="cs-CZ"/>
        </w:rPr>
        <w:t>teriflunomidem</w:t>
      </w:r>
      <w:proofErr w:type="spellEnd"/>
      <w:r w:rsidRPr="00331C1E">
        <w:rPr>
          <w:szCs w:val="22"/>
          <w:lang w:val="cs-CZ"/>
        </w:rPr>
        <w:t xml:space="preserve"> může dojít ke zvýšení krevního tlaku. U pacientů se závažnou aktivní infekcí je nutné zahájení léčby </w:t>
      </w:r>
      <w:proofErr w:type="spellStart"/>
      <w:r w:rsidRPr="00331C1E">
        <w:rPr>
          <w:szCs w:val="22"/>
          <w:lang w:val="cs-CZ"/>
        </w:rPr>
        <w:t>teriflunomidem</w:t>
      </w:r>
      <w:proofErr w:type="spellEnd"/>
      <w:r w:rsidRPr="00331C1E">
        <w:rPr>
          <w:szCs w:val="22"/>
          <w:lang w:val="cs-CZ"/>
        </w:rPr>
        <w:t xml:space="preserve"> odložit až do vyléčení. Pokud se u pacienta rozvine závažná infekce, je nutné zvážit pozastavení léčby stejně tak, pokud se rozvine potvrzená periferní neuropatie. Respirační reakce:</w:t>
      </w:r>
      <w:r w:rsidR="005432C3" w:rsidRPr="00331C1E">
        <w:rPr>
          <w:szCs w:val="22"/>
          <w:lang w:val="cs-CZ"/>
        </w:rPr>
        <w:t xml:space="preserve"> </w:t>
      </w:r>
      <w:r w:rsidR="005432C3" w:rsidRPr="00331C1E">
        <w:rPr>
          <w:lang w:val="cs-CZ"/>
        </w:rPr>
        <w:t xml:space="preserve">Po uvedení přípravku na trh byly hlášeny případy intersticiálního plicního onemocnění (ILD) a plicní hypertenze související s </w:t>
      </w:r>
      <w:proofErr w:type="spellStart"/>
      <w:r w:rsidR="005432C3" w:rsidRPr="00331C1E">
        <w:rPr>
          <w:lang w:val="cs-CZ"/>
        </w:rPr>
        <w:t>teriflunomidem</w:t>
      </w:r>
      <w:proofErr w:type="spellEnd"/>
      <w:r w:rsidR="005432C3" w:rsidRPr="00331C1E">
        <w:rPr>
          <w:lang w:val="cs-CZ"/>
        </w:rPr>
        <w:t>.</w:t>
      </w:r>
    </w:p>
    <w:p w14:paraId="5F029CE9" w14:textId="7E69F421" w:rsidR="00930BB0" w:rsidRPr="00331C1E" w:rsidRDefault="005432C3" w:rsidP="005B019E">
      <w:pPr>
        <w:spacing w:line="240" w:lineRule="auto"/>
        <w:rPr>
          <w:noProof/>
          <w:szCs w:val="22"/>
          <w:lang w:val="cs-CZ"/>
        </w:rPr>
      </w:pPr>
      <w:r w:rsidRPr="00331C1E">
        <w:rPr>
          <w:lang w:val="cs-CZ"/>
        </w:rPr>
        <w:t xml:space="preserve">Riziko ILD může být zvýšené u pacientů s ILD v anamnéze. </w:t>
      </w:r>
      <w:r w:rsidR="00930BB0" w:rsidRPr="00331C1E">
        <w:rPr>
          <w:lang w:val="cs-CZ"/>
        </w:rPr>
        <w:t xml:space="preserve"> Plicní příznaky jako perzistující kašel nebo dyspnoe mohou být důvodem k přerušení léčby a dalšímu vyšetření.</w:t>
      </w:r>
      <w:r w:rsidR="00331C1E" w:rsidRPr="00331C1E">
        <w:rPr>
          <w:szCs w:val="22"/>
          <w:u w:val="single"/>
          <w:lang w:val="cs-CZ"/>
        </w:rPr>
        <w:t xml:space="preserve"> </w:t>
      </w:r>
      <w:r w:rsidR="00930BB0" w:rsidRPr="00331C1E">
        <w:rPr>
          <w:szCs w:val="22"/>
          <w:lang w:val="cs-CZ"/>
        </w:rPr>
        <w:t>Byl zjištěn mírný pokles počtu bílých krvinek o méně než 15 % od výchozích hodnot. U pacientů s již existující anémií, leukopenií a/nebo trombocytopenií a u pacientů s narušenou funkcí kostní dřeně nebo pacientů s rizikem útlumu funkce kostní dřeně existuje zvýšené riziko rozvoje hematologických poruch.</w:t>
      </w:r>
      <w:r w:rsidR="004E1EF6" w:rsidRPr="00331C1E">
        <w:rPr>
          <w:szCs w:val="22"/>
          <w:lang w:val="cs-CZ"/>
        </w:rPr>
        <w:t xml:space="preserve"> </w:t>
      </w:r>
      <w:r w:rsidR="00E232E4" w:rsidRPr="00331C1E">
        <w:rPr>
          <w:szCs w:val="22"/>
          <w:lang w:val="cs-CZ"/>
        </w:rPr>
        <w:t>V průběhu sledování po uvedení přípravku na trh byly hlášeny případy závažných kožních reakcí (včetně Stevens-</w:t>
      </w:r>
      <w:proofErr w:type="spellStart"/>
      <w:r w:rsidR="00E232E4" w:rsidRPr="00331C1E">
        <w:rPr>
          <w:szCs w:val="22"/>
          <w:lang w:val="cs-CZ"/>
        </w:rPr>
        <w:t>Johnsonova</w:t>
      </w:r>
      <w:proofErr w:type="spellEnd"/>
      <w:r w:rsidR="00E232E4" w:rsidRPr="00331C1E">
        <w:rPr>
          <w:szCs w:val="22"/>
          <w:lang w:val="cs-CZ"/>
        </w:rPr>
        <w:t xml:space="preserve"> syndromu a toxické epidermální </w:t>
      </w:r>
      <w:proofErr w:type="spellStart"/>
      <w:r w:rsidR="00E232E4" w:rsidRPr="00331C1E">
        <w:rPr>
          <w:szCs w:val="22"/>
          <w:lang w:val="cs-CZ"/>
        </w:rPr>
        <w:t>nekrolýzy</w:t>
      </w:r>
      <w:proofErr w:type="spellEnd"/>
      <w:r w:rsidR="00E232E4" w:rsidRPr="00331C1E">
        <w:rPr>
          <w:szCs w:val="22"/>
          <w:lang w:val="cs-CZ"/>
        </w:rPr>
        <w:t xml:space="preserve">). </w:t>
      </w:r>
      <w:r w:rsidR="004E1EF6" w:rsidRPr="00331C1E">
        <w:rPr>
          <w:szCs w:val="22"/>
          <w:lang w:val="cs-CZ"/>
        </w:rPr>
        <w:t xml:space="preserve">Při výskytu závažných kožních reakcí je třeba přerušit léčbu, zahájit rychlou eliminaci a dále nepodávat </w:t>
      </w:r>
      <w:proofErr w:type="spellStart"/>
      <w:r w:rsidR="004E1EF6" w:rsidRPr="00331C1E">
        <w:rPr>
          <w:szCs w:val="22"/>
          <w:lang w:val="cs-CZ"/>
        </w:rPr>
        <w:t>teriflunomid</w:t>
      </w:r>
      <w:proofErr w:type="spellEnd"/>
      <w:r w:rsidR="004E1EF6" w:rsidRPr="00331C1E">
        <w:rPr>
          <w:szCs w:val="22"/>
          <w:lang w:val="cs-CZ"/>
        </w:rPr>
        <w:t>.</w:t>
      </w:r>
      <w:r w:rsidR="00930BB0" w:rsidRPr="00331C1E">
        <w:rPr>
          <w:szCs w:val="22"/>
          <w:lang w:val="cs-CZ"/>
        </w:rPr>
        <w:t xml:space="preserve"> Při přechodu pacientů z </w:t>
      </w:r>
      <w:proofErr w:type="spellStart"/>
      <w:r w:rsidR="00930BB0" w:rsidRPr="00331C1E">
        <w:rPr>
          <w:szCs w:val="22"/>
          <w:lang w:val="cs-CZ"/>
        </w:rPr>
        <w:t>natalizumabu</w:t>
      </w:r>
      <w:proofErr w:type="spellEnd"/>
      <w:r w:rsidR="00930BB0" w:rsidRPr="00331C1E">
        <w:rPr>
          <w:szCs w:val="22"/>
          <w:lang w:val="cs-CZ"/>
        </w:rPr>
        <w:t xml:space="preserve"> na </w:t>
      </w:r>
      <w:r w:rsidR="00CC50C9" w:rsidRPr="00331C1E">
        <w:rPr>
          <w:szCs w:val="22"/>
          <w:lang w:val="cs-CZ"/>
        </w:rPr>
        <w:t>přípravek</w:t>
      </w:r>
      <w:r w:rsidR="005660DD" w:rsidRPr="00331C1E">
        <w:rPr>
          <w:szCs w:val="22"/>
          <w:lang w:val="cs-CZ"/>
        </w:rPr>
        <w:t xml:space="preserve"> </w:t>
      </w:r>
      <w:r w:rsidR="00930BB0" w:rsidRPr="00331C1E">
        <w:rPr>
          <w:szCs w:val="22"/>
          <w:lang w:val="cs-CZ"/>
        </w:rPr>
        <w:t xml:space="preserve">je nutné postupovat opatrně. Na základě poločasu </w:t>
      </w:r>
      <w:proofErr w:type="spellStart"/>
      <w:r w:rsidR="00930BB0" w:rsidRPr="00331C1E">
        <w:rPr>
          <w:szCs w:val="22"/>
          <w:lang w:val="cs-CZ"/>
        </w:rPr>
        <w:t>fingolimodu</w:t>
      </w:r>
      <w:proofErr w:type="spellEnd"/>
      <w:r w:rsidR="00930BB0" w:rsidRPr="00331C1E">
        <w:rPr>
          <w:szCs w:val="22"/>
          <w:lang w:val="cs-CZ"/>
        </w:rPr>
        <w:t xml:space="preserve"> je třeba pacienta ponechat 6 týdnů bez léčby.</w:t>
      </w:r>
      <w:r w:rsidR="005E5CED" w:rsidRPr="00331C1E">
        <w:rPr>
          <w:szCs w:val="22"/>
          <w:lang w:val="cs-CZ"/>
        </w:rPr>
        <w:t xml:space="preserve"> V pediatrické klinické studii byly u pacientů užívajících </w:t>
      </w:r>
      <w:proofErr w:type="spellStart"/>
      <w:r w:rsidR="005E5CED" w:rsidRPr="00331C1E">
        <w:rPr>
          <w:szCs w:val="22"/>
          <w:lang w:val="cs-CZ"/>
        </w:rPr>
        <w:t>teriflunomid</w:t>
      </w:r>
      <w:proofErr w:type="spellEnd"/>
      <w:r w:rsidR="005E5CED" w:rsidRPr="00331C1E">
        <w:rPr>
          <w:szCs w:val="22"/>
          <w:lang w:val="cs-CZ"/>
        </w:rPr>
        <w:t xml:space="preserve"> pozorovány případy pankreatitidy, některé akutní.</w:t>
      </w:r>
      <w:r w:rsidR="001469FE" w:rsidRPr="00331C1E">
        <w:rPr>
          <w:szCs w:val="22"/>
          <w:lang w:val="cs-CZ"/>
        </w:rPr>
        <w:t xml:space="preserve"> Pokud je pankreatitida potvrzena, je nutné léčbu </w:t>
      </w:r>
      <w:proofErr w:type="spellStart"/>
      <w:r w:rsidR="001469FE" w:rsidRPr="00331C1E">
        <w:rPr>
          <w:szCs w:val="22"/>
          <w:lang w:val="cs-CZ"/>
        </w:rPr>
        <w:t>teriflunomidem</w:t>
      </w:r>
      <w:proofErr w:type="spellEnd"/>
      <w:r w:rsidR="001469FE" w:rsidRPr="00331C1E">
        <w:rPr>
          <w:szCs w:val="22"/>
          <w:lang w:val="cs-CZ"/>
        </w:rPr>
        <w:t xml:space="preserve"> ukončit a zahájit zrychlenou eliminaci.</w:t>
      </w:r>
      <w:r w:rsidRPr="00331C1E">
        <w:rPr>
          <w:szCs w:val="22"/>
          <w:lang w:val="cs-CZ"/>
        </w:rPr>
        <w:t xml:space="preserve"> </w:t>
      </w:r>
      <w:r w:rsidR="00930BB0" w:rsidRPr="00331C1E">
        <w:rPr>
          <w:szCs w:val="22"/>
          <w:lang w:val="cs-CZ"/>
        </w:rPr>
        <w:t xml:space="preserve">Protože přípravek </w:t>
      </w:r>
      <w:r w:rsidR="00930BB0" w:rsidRPr="00331C1E">
        <w:rPr>
          <w:szCs w:val="22"/>
          <w:lang w:val="cs-CZ"/>
        </w:rPr>
        <w:lastRenderedPageBreak/>
        <w:t xml:space="preserve">obsahuje </w:t>
      </w:r>
      <w:proofErr w:type="spellStart"/>
      <w:r w:rsidR="00D90127" w:rsidRPr="00331C1E">
        <w:rPr>
          <w:szCs w:val="22"/>
          <w:lang w:val="cs-CZ"/>
        </w:rPr>
        <w:t>laktosu</w:t>
      </w:r>
      <w:proofErr w:type="spellEnd"/>
      <w:r w:rsidR="00930BB0" w:rsidRPr="00331C1E">
        <w:rPr>
          <w:szCs w:val="22"/>
          <w:lang w:val="cs-CZ"/>
        </w:rPr>
        <w:t xml:space="preserve">, </w:t>
      </w:r>
      <w:r w:rsidR="006D0822" w:rsidRPr="00331C1E">
        <w:rPr>
          <w:szCs w:val="22"/>
          <w:lang w:val="cs-CZ"/>
        </w:rPr>
        <w:t xml:space="preserve">pacienti se vzácnými dědičnými problémy s intolerancí </w:t>
      </w:r>
      <w:proofErr w:type="spellStart"/>
      <w:r w:rsidR="006D0822" w:rsidRPr="00331C1E">
        <w:rPr>
          <w:szCs w:val="22"/>
          <w:lang w:val="cs-CZ"/>
        </w:rPr>
        <w:t>galaktosy</w:t>
      </w:r>
      <w:proofErr w:type="spellEnd"/>
      <w:r w:rsidR="006D0822" w:rsidRPr="00331C1E">
        <w:rPr>
          <w:szCs w:val="22"/>
          <w:lang w:val="cs-CZ"/>
        </w:rPr>
        <w:t>, úplným nedostatkem laktázy nebo s malabsorpcí gluko</w:t>
      </w:r>
      <w:r w:rsidR="00130D93" w:rsidRPr="00331C1E">
        <w:rPr>
          <w:szCs w:val="22"/>
          <w:lang w:val="cs-CZ"/>
        </w:rPr>
        <w:t>s</w:t>
      </w:r>
      <w:r w:rsidR="006D0822" w:rsidRPr="00331C1E">
        <w:rPr>
          <w:szCs w:val="22"/>
          <w:lang w:val="cs-CZ"/>
        </w:rPr>
        <w:t xml:space="preserve">y a </w:t>
      </w:r>
      <w:proofErr w:type="spellStart"/>
      <w:r w:rsidR="006D0822" w:rsidRPr="00331C1E">
        <w:rPr>
          <w:szCs w:val="22"/>
          <w:lang w:val="cs-CZ"/>
        </w:rPr>
        <w:t>galakt</w:t>
      </w:r>
      <w:r w:rsidR="00130D93" w:rsidRPr="00331C1E">
        <w:rPr>
          <w:szCs w:val="22"/>
          <w:lang w:val="cs-CZ"/>
        </w:rPr>
        <w:t>os</w:t>
      </w:r>
      <w:r w:rsidR="006D0822" w:rsidRPr="00331C1E">
        <w:rPr>
          <w:szCs w:val="22"/>
          <w:lang w:val="cs-CZ"/>
        </w:rPr>
        <w:t>y</w:t>
      </w:r>
      <w:proofErr w:type="spellEnd"/>
      <w:r w:rsidR="006D0822" w:rsidRPr="00331C1E">
        <w:rPr>
          <w:szCs w:val="22"/>
          <w:lang w:val="cs-CZ"/>
        </w:rPr>
        <w:t xml:space="preserve"> nemají tento přípravek užívat. </w:t>
      </w:r>
      <w:r w:rsidR="00930BB0" w:rsidRPr="00331C1E">
        <w:rPr>
          <w:noProof/>
          <w:szCs w:val="22"/>
          <w:lang w:val="cs-CZ"/>
        </w:rPr>
        <w:t xml:space="preserve"> </w:t>
      </w:r>
      <w:r w:rsidR="00930BB0" w:rsidRPr="00331C1E">
        <w:rPr>
          <w:b/>
          <w:szCs w:val="22"/>
          <w:lang w:val="cs-CZ"/>
        </w:rPr>
        <w:t>Interakce</w:t>
      </w:r>
      <w:r w:rsidR="00930BB0" w:rsidRPr="00331C1E">
        <w:rPr>
          <w:szCs w:val="22"/>
          <w:lang w:val="cs-CZ"/>
        </w:rPr>
        <w:t xml:space="preserve">: Silné induktory cytochromu CYP a transportérů (např. </w:t>
      </w:r>
      <w:proofErr w:type="spellStart"/>
      <w:r w:rsidR="00930BB0" w:rsidRPr="00331C1E">
        <w:rPr>
          <w:szCs w:val="22"/>
          <w:lang w:val="cs-CZ"/>
        </w:rPr>
        <w:t>rifampicin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karbamazepin</w:t>
      </w:r>
      <w:proofErr w:type="spellEnd"/>
      <w:r w:rsidR="00930BB0" w:rsidRPr="00331C1E">
        <w:rPr>
          <w:szCs w:val="22"/>
          <w:lang w:val="cs-CZ"/>
        </w:rPr>
        <w:t xml:space="preserve">, fenobarbital, </w:t>
      </w:r>
      <w:proofErr w:type="spellStart"/>
      <w:r w:rsidR="00930BB0" w:rsidRPr="00331C1E">
        <w:rPr>
          <w:szCs w:val="22"/>
          <w:lang w:val="cs-CZ"/>
        </w:rPr>
        <w:t>fenytoin</w:t>
      </w:r>
      <w:proofErr w:type="spellEnd"/>
      <w:r w:rsidR="00930BB0" w:rsidRPr="00331C1E">
        <w:rPr>
          <w:szCs w:val="22"/>
          <w:lang w:val="cs-CZ"/>
        </w:rPr>
        <w:t xml:space="preserve"> a třezalka tečkovaná), je nutné během léčby </w:t>
      </w:r>
      <w:proofErr w:type="spellStart"/>
      <w:r w:rsidR="00930BB0" w:rsidRPr="00331C1E">
        <w:rPr>
          <w:szCs w:val="22"/>
          <w:lang w:val="cs-CZ"/>
        </w:rPr>
        <w:t>teriflunomidem</w:t>
      </w:r>
      <w:proofErr w:type="spellEnd"/>
      <w:r w:rsidR="00930BB0" w:rsidRPr="00331C1E">
        <w:rPr>
          <w:szCs w:val="22"/>
          <w:lang w:val="cs-CZ"/>
        </w:rPr>
        <w:t xml:space="preserve"> používat opatrně.</w:t>
      </w:r>
      <w:r w:rsidR="00930BB0" w:rsidRPr="00331C1E" w:rsidDel="00E35268">
        <w:rPr>
          <w:szCs w:val="22"/>
          <w:lang w:val="cs-CZ"/>
        </w:rPr>
        <w:t xml:space="preserve"> </w:t>
      </w:r>
      <w:proofErr w:type="spellStart"/>
      <w:r w:rsidR="00930BB0" w:rsidRPr="00331C1E">
        <w:rPr>
          <w:szCs w:val="22"/>
          <w:lang w:val="cs-CZ"/>
        </w:rPr>
        <w:t>Kolestyramin</w:t>
      </w:r>
      <w:proofErr w:type="spellEnd"/>
      <w:r w:rsidR="00930BB0" w:rsidRPr="00331C1E">
        <w:rPr>
          <w:szCs w:val="22"/>
          <w:lang w:val="cs-CZ"/>
        </w:rPr>
        <w:t xml:space="preserve"> a aktivní uhlí způsobují rychlé a významné snížení plazmatické koncentrace </w:t>
      </w:r>
      <w:proofErr w:type="spellStart"/>
      <w:r w:rsidR="00930BB0" w:rsidRPr="00331C1E">
        <w:rPr>
          <w:szCs w:val="22"/>
          <w:lang w:val="cs-CZ"/>
        </w:rPr>
        <w:t>teriflunomidu</w:t>
      </w:r>
      <w:proofErr w:type="spellEnd"/>
      <w:r w:rsidR="00930BB0" w:rsidRPr="00331C1E">
        <w:rPr>
          <w:szCs w:val="22"/>
          <w:lang w:val="cs-CZ"/>
        </w:rPr>
        <w:t xml:space="preserve">. Pokud není přímo vyžadována urychlená eliminace, doporučuje se pacientům během léčby tyto přípravky neužívat. Během léčby </w:t>
      </w:r>
      <w:proofErr w:type="spellStart"/>
      <w:r w:rsidR="00930BB0" w:rsidRPr="00331C1E">
        <w:rPr>
          <w:szCs w:val="22"/>
          <w:lang w:val="cs-CZ"/>
        </w:rPr>
        <w:t>teriflunomidem</w:t>
      </w:r>
      <w:proofErr w:type="spellEnd"/>
      <w:r w:rsidR="00930BB0" w:rsidRPr="00331C1E">
        <w:rPr>
          <w:szCs w:val="22"/>
          <w:lang w:val="cs-CZ"/>
        </w:rPr>
        <w:t xml:space="preserve"> je nutné používat opatrně léčivé přípravky metabolizované cytochromem CYP2C8 (např. </w:t>
      </w:r>
      <w:proofErr w:type="spellStart"/>
      <w:r w:rsidR="00930BB0" w:rsidRPr="00331C1E">
        <w:rPr>
          <w:szCs w:val="22"/>
          <w:lang w:val="cs-CZ"/>
        </w:rPr>
        <w:t>repaglinid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paklitaxel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pioglitazon</w:t>
      </w:r>
      <w:proofErr w:type="spellEnd"/>
      <w:r w:rsidR="00930BB0" w:rsidRPr="00331C1E">
        <w:rPr>
          <w:szCs w:val="22"/>
          <w:lang w:val="cs-CZ"/>
        </w:rPr>
        <w:t xml:space="preserve"> nebo </w:t>
      </w:r>
      <w:proofErr w:type="spellStart"/>
      <w:r w:rsidR="00930BB0" w:rsidRPr="00331C1E">
        <w:rPr>
          <w:szCs w:val="22"/>
          <w:lang w:val="cs-CZ"/>
        </w:rPr>
        <w:t>rosiglitazon</w:t>
      </w:r>
      <w:proofErr w:type="spellEnd"/>
      <w:r w:rsidR="00930BB0" w:rsidRPr="00331C1E">
        <w:rPr>
          <w:szCs w:val="22"/>
          <w:lang w:val="cs-CZ"/>
        </w:rPr>
        <w:t xml:space="preserve">), CYP1A2 (např. </w:t>
      </w:r>
      <w:proofErr w:type="spellStart"/>
      <w:r w:rsidR="00930BB0" w:rsidRPr="00331C1E">
        <w:rPr>
          <w:szCs w:val="22"/>
          <w:lang w:val="cs-CZ"/>
        </w:rPr>
        <w:t>duloxetin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alosetron,theofylin</w:t>
      </w:r>
      <w:proofErr w:type="spellEnd"/>
      <w:r w:rsidR="00930BB0" w:rsidRPr="00331C1E">
        <w:rPr>
          <w:szCs w:val="22"/>
          <w:lang w:val="cs-CZ"/>
        </w:rPr>
        <w:t xml:space="preserve"> a </w:t>
      </w:r>
      <w:proofErr w:type="spellStart"/>
      <w:r w:rsidR="00930BB0" w:rsidRPr="00331C1E">
        <w:rPr>
          <w:szCs w:val="22"/>
          <w:lang w:val="cs-CZ"/>
        </w:rPr>
        <w:t>tizanidin</w:t>
      </w:r>
      <w:proofErr w:type="spellEnd"/>
      <w:r w:rsidR="00930BB0" w:rsidRPr="00331C1E">
        <w:rPr>
          <w:szCs w:val="22"/>
          <w:lang w:val="cs-CZ"/>
        </w:rPr>
        <w:t xml:space="preserve">) i v kombinaci se substráty OAT3 (např. </w:t>
      </w:r>
      <w:proofErr w:type="spellStart"/>
      <w:r w:rsidR="00930BB0" w:rsidRPr="00331C1E">
        <w:rPr>
          <w:szCs w:val="22"/>
          <w:lang w:val="cs-CZ"/>
        </w:rPr>
        <w:t>cefaklor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benzylpenicilin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ciprofloxacin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indometacin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ketoprofen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furosemid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cimetidin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metotrexát</w:t>
      </w:r>
      <w:proofErr w:type="spellEnd"/>
      <w:r w:rsidR="00930BB0" w:rsidRPr="00331C1E">
        <w:rPr>
          <w:szCs w:val="22"/>
          <w:lang w:val="cs-CZ"/>
        </w:rPr>
        <w:t xml:space="preserve"> nebo </w:t>
      </w:r>
      <w:proofErr w:type="spellStart"/>
      <w:r w:rsidR="00930BB0" w:rsidRPr="00331C1E">
        <w:rPr>
          <w:szCs w:val="22"/>
          <w:lang w:val="cs-CZ"/>
        </w:rPr>
        <w:t>zidovudin</w:t>
      </w:r>
      <w:proofErr w:type="spellEnd"/>
      <w:r w:rsidR="00930BB0" w:rsidRPr="00331C1E">
        <w:rPr>
          <w:szCs w:val="22"/>
          <w:lang w:val="cs-CZ"/>
        </w:rPr>
        <w:t xml:space="preserve">), při podávání substrátů BCRP (např. </w:t>
      </w:r>
      <w:proofErr w:type="spellStart"/>
      <w:r w:rsidR="00930BB0" w:rsidRPr="00331C1E">
        <w:rPr>
          <w:szCs w:val="22"/>
          <w:lang w:val="cs-CZ"/>
        </w:rPr>
        <w:t>methotrexátu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topotekanu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sulfasalazinu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daunorubicinu</w:t>
      </w:r>
      <w:proofErr w:type="spellEnd"/>
      <w:r w:rsidR="00930BB0" w:rsidRPr="00331C1E">
        <w:rPr>
          <w:szCs w:val="22"/>
          <w:lang w:val="cs-CZ"/>
        </w:rPr>
        <w:t xml:space="preserve"> nebo </w:t>
      </w:r>
      <w:proofErr w:type="spellStart"/>
      <w:r w:rsidR="00930BB0" w:rsidRPr="00331C1E">
        <w:rPr>
          <w:szCs w:val="22"/>
          <w:lang w:val="cs-CZ"/>
        </w:rPr>
        <w:t>doxorubicinu</w:t>
      </w:r>
      <w:proofErr w:type="spellEnd"/>
      <w:r w:rsidR="00930BB0" w:rsidRPr="00331C1E">
        <w:rPr>
          <w:szCs w:val="22"/>
          <w:lang w:val="cs-CZ"/>
        </w:rPr>
        <w:t>) a inhibitorů HMG-</w:t>
      </w:r>
      <w:proofErr w:type="spellStart"/>
      <w:r w:rsidR="00930BB0" w:rsidRPr="00331C1E">
        <w:rPr>
          <w:szCs w:val="22"/>
          <w:lang w:val="cs-CZ"/>
        </w:rPr>
        <w:t>CoA</w:t>
      </w:r>
      <w:proofErr w:type="spellEnd"/>
      <w:r w:rsidR="00930BB0" w:rsidRPr="00331C1E">
        <w:rPr>
          <w:szCs w:val="22"/>
          <w:lang w:val="cs-CZ"/>
        </w:rPr>
        <w:t xml:space="preserve"> reduktázy, zejména ze skupiny OATP (např. </w:t>
      </w:r>
      <w:proofErr w:type="spellStart"/>
      <w:r w:rsidR="00930BB0" w:rsidRPr="00331C1E">
        <w:rPr>
          <w:szCs w:val="22"/>
          <w:lang w:val="cs-CZ"/>
        </w:rPr>
        <w:t>simvastatinu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atorvastatinu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pravastatinu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methotrexátu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nateglinidu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repaglinidu</w:t>
      </w:r>
      <w:proofErr w:type="spellEnd"/>
      <w:r w:rsidR="00930BB0" w:rsidRPr="00331C1E">
        <w:rPr>
          <w:szCs w:val="22"/>
          <w:lang w:val="cs-CZ"/>
        </w:rPr>
        <w:t xml:space="preserve"> či </w:t>
      </w:r>
      <w:proofErr w:type="spellStart"/>
      <w:r w:rsidR="00930BB0" w:rsidRPr="00331C1E">
        <w:rPr>
          <w:szCs w:val="22"/>
          <w:lang w:val="cs-CZ"/>
        </w:rPr>
        <w:t>rifampicinu</w:t>
      </w:r>
      <w:proofErr w:type="spellEnd"/>
      <w:r w:rsidR="00930BB0" w:rsidRPr="00331C1E">
        <w:rPr>
          <w:szCs w:val="22"/>
          <w:lang w:val="cs-CZ"/>
        </w:rPr>
        <w:t>). Je nutné zvážit typ a dávku perorální antikoncepce, jež se bude v kombinaci s </w:t>
      </w:r>
      <w:proofErr w:type="spellStart"/>
      <w:r w:rsidR="00930BB0" w:rsidRPr="00331C1E">
        <w:rPr>
          <w:szCs w:val="22"/>
          <w:lang w:val="cs-CZ"/>
        </w:rPr>
        <w:t>teriflunomidem</w:t>
      </w:r>
      <w:proofErr w:type="spellEnd"/>
      <w:r w:rsidR="00930BB0" w:rsidRPr="00331C1E">
        <w:rPr>
          <w:szCs w:val="22"/>
          <w:lang w:val="cs-CZ"/>
        </w:rPr>
        <w:t xml:space="preserve"> užívat. Doporučuje</w:t>
      </w:r>
      <w:r w:rsidR="00597D8C" w:rsidRPr="00331C1E">
        <w:rPr>
          <w:szCs w:val="22"/>
          <w:lang w:val="cs-CZ"/>
        </w:rPr>
        <w:t xml:space="preserve"> </w:t>
      </w:r>
      <w:r w:rsidR="00930BB0" w:rsidRPr="00331C1E">
        <w:rPr>
          <w:szCs w:val="22"/>
          <w:lang w:val="cs-CZ"/>
        </w:rPr>
        <w:t xml:space="preserve">se pečlivě monitorovat INR při kombinované léčbě </w:t>
      </w:r>
      <w:proofErr w:type="spellStart"/>
      <w:r w:rsidR="00930BB0" w:rsidRPr="00331C1E">
        <w:rPr>
          <w:szCs w:val="22"/>
          <w:lang w:val="cs-CZ"/>
        </w:rPr>
        <w:t>warfarinem</w:t>
      </w:r>
      <w:proofErr w:type="spellEnd"/>
      <w:r w:rsidR="00930BB0" w:rsidRPr="00331C1E">
        <w:rPr>
          <w:szCs w:val="22"/>
          <w:lang w:val="cs-CZ"/>
        </w:rPr>
        <w:t xml:space="preserve"> a </w:t>
      </w:r>
      <w:proofErr w:type="spellStart"/>
      <w:r w:rsidR="00597D8C" w:rsidRPr="00331C1E">
        <w:rPr>
          <w:szCs w:val="22"/>
          <w:lang w:val="cs-CZ"/>
        </w:rPr>
        <w:t>teriflunomidem</w:t>
      </w:r>
      <w:proofErr w:type="spellEnd"/>
      <w:r w:rsidR="00597D8C" w:rsidRPr="00331C1E">
        <w:rPr>
          <w:szCs w:val="22"/>
          <w:lang w:val="cs-CZ"/>
        </w:rPr>
        <w:t>. Při</w:t>
      </w:r>
      <w:r w:rsidR="00930BB0" w:rsidRPr="00331C1E">
        <w:rPr>
          <w:szCs w:val="22"/>
          <w:lang w:val="cs-CZ"/>
        </w:rPr>
        <w:t xml:space="preserve"> podávání </w:t>
      </w:r>
      <w:proofErr w:type="spellStart"/>
      <w:r w:rsidR="00930BB0" w:rsidRPr="00331C1E">
        <w:rPr>
          <w:szCs w:val="22"/>
          <w:lang w:val="cs-CZ"/>
        </w:rPr>
        <w:t>rosuvastatinu</w:t>
      </w:r>
      <w:proofErr w:type="spellEnd"/>
      <w:r w:rsidR="00930BB0" w:rsidRPr="00331C1E">
        <w:rPr>
          <w:szCs w:val="22"/>
          <w:lang w:val="cs-CZ"/>
        </w:rPr>
        <w:t xml:space="preserve"> v kombinaci s </w:t>
      </w:r>
      <w:proofErr w:type="spellStart"/>
      <w:r w:rsidR="00930BB0" w:rsidRPr="00331C1E">
        <w:rPr>
          <w:szCs w:val="22"/>
          <w:lang w:val="cs-CZ"/>
        </w:rPr>
        <w:t>teriflunomidem</w:t>
      </w:r>
      <w:proofErr w:type="spellEnd"/>
      <w:r w:rsidR="00930BB0" w:rsidRPr="00331C1E">
        <w:rPr>
          <w:szCs w:val="22"/>
          <w:lang w:val="cs-CZ"/>
        </w:rPr>
        <w:t xml:space="preserve"> se doporučuje snížit dávku </w:t>
      </w:r>
      <w:proofErr w:type="spellStart"/>
      <w:r w:rsidR="00930BB0" w:rsidRPr="00331C1E">
        <w:rPr>
          <w:szCs w:val="22"/>
          <w:lang w:val="cs-CZ"/>
        </w:rPr>
        <w:t>rosuvastatinu</w:t>
      </w:r>
      <w:proofErr w:type="spellEnd"/>
      <w:r w:rsidR="00930BB0" w:rsidRPr="00331C1E">
        <w:rPr>
          <w:szCs w:val="22"/>
          <w:lang w:val="cs-CZ"/>
        </w:rPr>
        <w:t xml:space="preserve"> na 50 %. </w:t>
      </w:r>
      <w:r w:rsidR="00930BB0" w:rsidRPr="00331C1E">
        <w:rPr>
          <w:b/>
          <w:bCs/>
          <w:szCs w:val="22"/>
          <w:lang w:val="cs-CZ"/>
        </w:rPr>
        <w:t>Fertilita, t</w:t>
      </w:r>
      <w:r w:rsidR="00930BB0" w:rsidRPr="00331C1E">
        <w:rPr>
          <w:b/>
          <w:szCs w:val="22"/>
          <w:lang w:val="cs-CZ"/>
        </w:rPr>
        <w:t>ěhotenství a </w:t>
      </w:r>
      <w:r w:rsidR="00597D8C" w:rsidRPr="00331C1E">
        <w:rPr>
          <w:b/>
          <w:szCs w:val="22"/>
          <w:lang w:val="cs-CZ"/>
        </w:rPr>
        <w:t xml:space="preserve">kojení: </w:t>
      </w:r>
      <w:proofErr w:type="spellStart"/>
      <w:r w:rsidR="00597D8C" w:rsidRPr="00331C1E">
        <w:rPr>
          <w:szCs w:val="22"/>
          <w:lang w:val="cs-CZ"/>
        </w:rPr>
        <w:t>Teriflunomid</w:t>
      </w:r>
      <w:proofErr w:type="spellEnd"/>
      <w:r w:rsidR="00930BB0" w:rsidRPr="00331C1E">
        <w:rPr>
          <w:szCs w:val="22"/>
          <w:lang w:val="cs-CZ"/>
        </w:rPr>
        <w:t xml:space="preserve"> je v těhotenství a během kojení kontraindikován. Ženy ve fertilním věku musí během léčby </w:t>
      </w:r>
      <w:proofErr w:type="spellStart"/>
      <w:r w:rsidR="00930BB0" w:rsidRPr="00331C1E">
        <w:rPr>
          <w:szCs w:val="22"/>
          <w:lang w:val="cs-CZ"/>
        </w:rPr>
        <w:t>teriflunomidem</w:t>
      </w:r>
      <w:proofErr w:type="spellEnd"/>
      <w:r w:rsidR="00930BB0" w:rsidRPr="00331C1E">
        <w:rPr>
          <w:szCs w:val="22"/>
          <w:lang w:val="cs-CZ"/>
        </w:rPr>
        <w:t xml:space="preserve"> a po ní používat účinnou antikoncepci. Ženy, které užívají </w:t>
      </w:r>
      <w:proofErr w:type="spellStart"/>
      <w:r w:rsidR="00930BB0" w:rsidRPr="00331C1E">
        <w:rPr>
          <w:szCs w:val="22"/>
          <w:lang w:val="cs-CZ"/>
        </w:rPr>
        <w:t>teriflunomid</w:t>
      </w:r>
      <w:proofErr w:type="spellEnd"/>
      <w:r w:rsidR="00930BB0" w:rsidRPr="00331C1E">
        <w:rPr>
          <w:szCs w:val="22"/>
          <w:lang w:val="cs-CZ"/>
        </w:rPr>
        <w:t xml:space="preserve"> a </w:t>
      </w:r>
      <w:r w:rsidR="00930BB0" w:rsidRPr="00331C1E">
        <w:rPr>
          <w:b/>
          <w:szCs w:val="22"/>
          <w:lang w:val="cs-CZ"/>
        </w:rPr>
        <w:t>c</w:t>
      </w:r>
      <w:r w:rsidR="00930BB0" w:rsidRPr="00331C1E">
        <w:rPr>
          <w:szCs w:val="22"/>
          <w:lang w:val="cs-CZ"/>
        </w:rPr>
        <w:t>htějí otěhotnět, mají léčbu ukončit a doporučuje se provést zrychlenou eliminaci</w:t>
      </w:r>
      <w:r w:rsidR="00930BB0" w:rsidRPr="00331C1E">
        <w:rPr>
          <w:noProof/>
          <w:szCs w:val="22"/>
          <w:lang w:val="cs-CZ"/>
        </w:rPr>
        <w:t xml:space="preserve">. </w:t>
      </w:r>
      <w:r w:rsidR="00930BB0" w:rsidRPr="00331C1E">
        <w:rPr>
          <w:szCs w:val="22"/>
          <w:lang w:val="cs-CZ"/>
        </w:rPr>
        <w:t>U mužů ani u žen se neočekává žádný účinek na fertilitu.</w:t>
      </w:r>
      <w:r w:rsidR="00D00313" w:rsidRPr="00331C1E">
        <w:rPr>
          <w:b/>
          <w:szCs w:val="22"/>
          <w:lang w:val="cs-CZ"/>
        </w:rPr>
        <w:t xml:space="preserve"> Účinky na schopnost řídit a obsluhovat stroje: </w:t>
      </w:r>
      <w:r w:rsidR="00D00313" w:rsidRPr="00331C1E">
        <w:rPr>
          <w:szCs w:val="22"/>
          <w:lang w:val="cs-CZ"/>
        </w:rPr>
        <w:t xml:space="preserve">Přípravek AUBAGIO nemá žádný nebo má zanedbatelný vliv na schopnost řídit nebo obsluhovat stroje. </w:t>
      </w:r>
      <w:r w:rsidR="00D00313" w:rsidRPr="00331C1E">
        <w:rPr>
          <w:lang w:val="cs-CZ"/>
        </w:rPr>
        <w:t>V případě výskytu nežádoucích účinků, které byly hlášeny u </w:t>
      </w:r>
      <w:proofErr w:type="spellStart"/>
      <w:r w:rsidR="00D00313" w:rsidRPr="00331C1E">
        <w:rPr>
          <w:lang w:val="cs-CZ"/>
        </w:rPr>
        <w:t>leflunomidu</w:t>
      </w:r>
      <w:proofErr w:type="spellEnd"/>
      <w:r w:rsidR="00D00313" w:rsidRPr="00331C1E">
        <w:rPr>
          <w:lang w:val="cs-CZ"/>
        </w:rPr>
        <w:t>, tj. výchozí sloučeniny (např. závratě), může být narušena pacientova schopnost koncentrovat se a správně reagovat. V takových případech pacienti nemají řídit a obsluhovat stroje.</w:t>
      </w:r>
      <w:r w:rsidR="00930BB0" w:rsidRPr="00331C1E" w:rsidDel="002C1603">
        <w:rPr>
          <w:noProof/>
          <w:szCs w:val="22"/>
          <w:lang w:val="cs-CZ"/>
        </w:rPr>
        <w:t xml:space="preserve"> </w:t>
      </w:r>
      <w:r w:rsidR="00930BB0" w:rsidRPr="00331C1E">
        <w:rPr>
          <w:b/>
          <w:szCs w:val="22"/>
          <w:lang w:val="cs-CZ"/>
        </w:rPr>
        <w:t>Nežádoucí účinky</w:t>
      </w:r>
      <w:r w:rsidR="00930BB0" w:rsidRPr="00331C1E">
        <w:rPr>
          <w:noProof/>
          <w:szCs w:val="22"/>
          <w:lang w:val="cs-CZ"/>
        </w:rPr>
        <w:t xml:space="preserve">: </w:t>
      </w:r>
      <w:r w:rsidR="00E232E4" w:rsidRPr="00331C1E">
        <w:rPr>
          <w:noProof/>
          <w:szCs w:val="22"/>
          <w:lang w:val="cs-CZ"/>
        </w:rPr>
        <w:t xml:space="preserve">bolest hlavy, </w:t>
      </w:r>
      <w:r w:rsidR="00930BB0" w:rsidRPr="00331C1E">
        <w:rPr>
          <w:szCs w:val="22"/>
          <w:lang w:val="cs-CZ"/>
        </w:rPr>
        <w:t>chřipka, infekce horních cest dýchacích, infekce močových cest, parestezie, zvýšená hladina ALT, průjem, nauzea, alopecie, bronchitida, sinusitida, faryngitida, cystitida, virová gastroenteritida,  herpes</w:t>
      </w:r>
      <w:r w:rsidR="009D3ED7" w:rsidRPr="00331C1E">
        <w:rPr>
          <w:szCs w:val="22"/>
          <w:lang w:val="cs-CZ"/>
        </w:rPr>
        <w:t xml:space="preserve"> úst</w:t>
      </w:r>
      <w:r w:rsidR="00930BB0" w:rsidRPr="00331C1E">
        <w:rPr>
          <w:szCs w:val="22"/>
          <w:lang w:val="cs-CZ"/>
        </w:rPr>
        <w:t xml:space="preserve">, zubní infekce, laryngitida, </w:t>
      </w:r>
      <w:proofErr w:type="spellStart"/>
      <w:r w:rsidR="00930BB0" w:rsidRPr="00331C1E">
        <w:rPr>
          <w:szCs w:val="22"/>
          <w:lang w:val="cs-CZ"/>
        </w:rPr>
        <w:t>tinea</w:t>
      </w:r>
      <w:proofErr w:type="spellEnd"/>
      <w:r w:rsidR="00930BB0" w:rsidRPr="00331C1E">
        <w:rPr>
          <w:szCs w:val="22"/>
          <w:lang w:val="cs-CZ"/>
        </w:rPr>
        <w:t xml:space="preserve"> </w:t>
      </w:r>
      <w:proofErr w:type="spellStart"/>
      <w:r w:rsidR="00930BB0" w:rsidRPr="00331C1E">
        <w:rPr>
          <w:szCs w:val="22"/>
          <w:lang w:val="cs-CZ"/>
        </w:rPr>
        <w:t>pedis</w:t>
      </w:r>
      <w:proofErr w:type="spellEnd"/>
      <w:r w:rsidR="00930BB0" w:rsidRPr="00331C1E">
        <w:rPr>
          <w:szCs w:val="22"/>
          <w:lang w:val="cs-CZ"/>
        </w:rPr>
        <w:t xml:space="preserve">, </w:t>
      </w:r>
      <w:proofErr w:type="spellStart"/>
      <w:r w:rsidR="00930BB0" w:rsidRPr="00331C1E">
        <w:rPr>
          <w:szCs w:val="22"/>
          <w:lang w:val="cs-CZ"/>
        </w:rPr>
        <w:t>neutropenie</w:t>
      </w:r>
      <w:proofErr w:type="spellEnd"/>
      <w:r w:rsidR="00930BB0" w:rsidRPr="00331C1E">
        <w:rPr>
          <w:szCs w:val="22"/>
          <w:lang w:val="cs-CZ"/>
        </w:rPr>
        <w:t xml:space="preserve">, mírné alergické reakce, úzkost, ischias, syndrom karpálního tunelu, hyperestezie, neuralgie, </w:t>
      </w:r>
      <w:r w:rsidR="00E232E4" w:rsidRPr="00331C1E">
        <w:rPr>
          <w:szCs w:val="22"/>
          <w:lang w:val="cs-CZ"/>
        </w:rPr>
        <w:t xml:space="preserve">artralgie, </w:t>
      </w:r>
      <w:r w:rsidR="00930BB0" w:rsidRPr="00331C1E">
        <w:rPr>
          <w:szCs w:val="22"/>
          <w:lang w:val="cs-CZ"/>
        </w:rPr>
        <w:t xml:space="preserve">periferní neuropatie, hypertenze, zvracení, bolest zubů, vyrážka, akné, muskuloskeletální bolest, myalgie, </w:t>
      </w:r>
      <w:proofErr w:type="spellStart"/>
      <w:r w:rsidR="00930BB0" w:rsidRPr="00331C1E">
        <w:rPr>
          <w:szCs w:val="22"/>
          <w:lang w:val="cs-CZ"/>
        </w:rPr>
        <w:t>polakisurie</w:t>
      </w:r>
      <w:proofErr w:type="spellEnd"/>
      <w:r w:rsidR="00930BB0" w:rsidRPr="00331C1E">
        <w:rPr>
          <w:szCs w:val="22"/>
          <w:lang w:val="cs-CZ"/>
        </w:rPr>
        <w:t xml:space="preserve">, menoragie, bolest, zvýšená </w:t>
      </w:r>
      <w:proofErr w:type="spellStart"/>
      <w:r w:rsidR="00930BB0" w:rsidRPr="00331C1E">
        <w:rPr>
          <w:szCs w:val="22"/>
          <w:lang w:val="cs-CZ"/>
        </w:rPr>
        <w:t>gamaglutamyltransferáza</w:t>
      </w:r>
      <w:proofErr w:type="spellEnd"/>
      <w:r w:rsidR="00930BB0" w:rsidRPr="00331C1E">
        <w:rPr>
          <w:szCs w:val="22"/>
          <w:lang w:val="cs-CZ"/>
        </w:rPr>
        <w:t xml:space="preserve"> (GGT), zvýšená </w:t>
      </w:r>
      <w:proofErr w:type="spellStart"/>
      <w:r w:rsidR="00930BB0" w:rsidRPr="00331C1E">
        <w:rPr>
          <w:szCs w:val="22"/>
          <w:lang w:val="cs-CZ"/>
        </w:rPr>
        <w:t>aspartátaminotransferáza</w:t>
      </w:r>
      <w:proofErr w:type="spellEnd"/>
      <w:r w:rsidR="00930BB0" w:rsidRPr="00331C1E">
        <w:rPr>
          <w:szCs w:val="22"/>
          <w:lang w:val="cs-CZ"/>
        </w:rPr>
        <w:t xml:space="preserve">, </w:t>
      </w:r>
      <w:r w:rsidR="00E232E4" w:rsidRPr="00331C1E">
        <w:rPr>
          <w:szCs w:val="22"/>
          <w:lang w:val="cs-CZ"/>
        </w:rPr>
        <w:t xml:space="preserve">zvýšená </w:t>
      </w:r>
      <w:proofErr w:type="spellStart"/>
      <w:r w:rsidR="00E232E4" w:rsidRPr="00331C1E">
        <w:rPr>
          <w:szCs w:val="22"/>
          <w:lang w:val="cs-CZ"/>
        </w:rPr>
        <w:t>kreatinfosfokináza</w:t>
      </w:r>
      <w:proofErr w:type="spellEnd"/>
      <w:r w:rsidR="00E232E4" w:rsidRPr="00331C1E">
        <w:rPr>
          <w:szCs w:val="22"/>
          <w:lang w:val="cs-CZ"/>
        </w:rPr>
        <w:t xml:space="preserve"> v krvi, </w:t>
      </w:r>
      <w:r w:rsidR="00930BB0" w:rsidRPr="00331C1E">
        <w:rPr>
          <w:szCs w:val="22"/>
          <w:lang w:val="cs-CZ"/>
        </w:rPr>
        <w:t xml:space="preserve">snížení tělesné hmotnosti, </w:t>
      </w:r>
      <w:r w:rsidR="00930BB0" w:rsidRPr="00331C1E">
        <w:rPr>
          <w:bCs/>
          <w:szCs w:val="22"/>
          <w:lang w:val="cs-CZ"/>
        </w:rPr>
        <w:t>snížený</w:t>
      </w:r>
      <w:r w:rsidR="00930BB0" w:rsidRPr="00331C1E">
        <w:rPr>
          <w:szCs w:val="22"/>
          <w:lang w:val="cs-CZ"/>
        </w:rPr>
        <w:t xml:space="preserve"> p</w:t>
      </w:r>
      <w:r w:rsidR="00930BB0" w:rsidRPr="00331C1E">
        <w:rPr>
          <w:bCs/>
          <w:szCs w:val="22"/>
          <w:lang w:val="cs-CZ"/>
        </w:rPr>
        <w:t xml:space="preserve">očet neutrofilů, </w:t>
      </w:r>
      <w:r w:rsidR="00930BB0" w:rsidRPr="00331C1E">
        <w:rPr>
          <w:szCs w:val="22"/>
          <w:lang w:val="cs-CZ"/>
        </w:rPr>
        <w:t>snížený počet leukocytů, bolest po traumatu</w:t>
      </w:r>
      <w:r w:rsidR="00E232E4" w:rsidRPr="00331C1E">
        <w:rPr>
          <w:szCs w:val="22"/>
          <w:lang w:val="cs-CZ"/>
        </w:rPr>
        <w:t xml:space="preserve">, závažné infekce včetně sepse, reakce z přecitlivělosti (okamžité nebo opožděné) včetně anafylaxe a </w:t>
      </w:r>
      <w:proofErr w:type="spellStart"/>
      <w:r w:rsidR="00E232E4" w:rsidRPr="00331C1E">
        <w:rPr>
          <w:szCs w:val="22"/>
          <w:lang w:val="cs-CZ"/>
        </w:rPr>
        <w:t>angioedému</w:t>
      </w:r>
      <w:proofErr w:type="spellEnd"/>
      <w:r w:rsidR="00E232E4" w:rsidRPr="00331C1E">
        <w:rPr>
          <w:szCs w:val="22"/>
          <w:lang w:val="cs-CZ"/>
        </w:rPr>
        <w:t xml:space="preserve">, stomatitida, závažné kožní reakce. </w:t>
      </w:r>
      <w:r w:rsidR="00930BB0" w:rsidRPr="00331C1E">
        <w:rPr>
          <w:b/>
          <w:szCs w:val="22"/>
          <w:lang w:val="cs-CZ"/>
        </w:rPr>
        <w:t>Předávkován</w:t>
      </w:r>
      <w:r w:rsidR="00930BB0" w:rsidRPr="00331C1E">
        <w:rPr>
          <w:rFonts w:eastAsia="SimSun"/>
          <w:b/>
          <w:iCs/>
          <w:szCs w:val="22"/>
          <w:lang w:val="cs-CZ"/>
        </w:rPr>
        <w:t>í</w:t>
      </w:r>
      <w:r w:rsidR="00930BB0" w:rsidRPr="00331C1E">
        <w:rPr>
          <w:rFonts w:eastAsia="SimSun"/>
          <w:iCs/>
          <w:szCs w:val="22"/>
          <w:lang w:val="cs-CZ"/>
        </w:rPr>
        <w:t xml:space="preserve">: </w:t>
      </w:r>
      <w:r w:rsidR="00930BB0" w:rsidRPr="00331C1E">
        <w:rPr>
          <w:szCs w:val="22"/>
          <w:lang w:val="cs-CZ"/>
        </w:rPr>
        <w:t xml:space="preserve">Při předávkování se doporučuje podání </w:t>
      </w:r>
      <w:proofErr w:type="spellStart"/>
      <w:r w:rsidR="00930BB0" w:rsidRPr="00331C1E">
        <w:rPr>
          <w:szCs w:val="22"/>
          <w:lang w:val="cs-CZ"/>
        </w:rPr>
        <w:t>kolestyraminu</w:t>
      </w:r>
      <w:proofErr w:type="spellEnd"/>
      <w:r w:rsidR="00930BB0" w:rsidRPr="00331C1E">
        <w:rPr>
          <w:szCs w:val="22"/>
          <w:lang w:val="cs-CZ"/>
        </w:rPr>
        <w:t xml:space="preserve"> nebo aktivního uhlí, které urychlí eliminaci.</w:t>
      </w:r>
      <w:r w:rsidR="00930BB0" w:rsidRPr="00331C1E" w:rsidDel="00B253B7">
        <w:rPr>
          <w:noProof/>
          <w:szCs w:val="22"/>
          <w:lang w:val="cs-CZ"/>
        </w:rPr>
        <w:t xml:space="preserve"> </w:t>
      </w:r>
      <w:r w:rsidR="00930BB0" w:rsidRPr="00331C1E">
        <w:rPr>
          <w:b/>
          <w:szCs w:val="22"/>
          <w:lang w:val="cs-CZ"/>
        </w:rPr>
        <w:t>Doba použitelnosti a podmínky pro uchovávání:</w:t>
      </w:r>
      <w:r w:rsidR="00930BB0" w:rsidRPr="00331C1E" w:rsidDel="00561017">
        <w:rPr>
          <w:noProof/>
          <w:szCs w:val="22"/>
          <w:lang w:val="cs-CZ"/>
        </w:rPr>
        <w:t xml:space="preserve"> </w:t>
      </w:r>
      <w:r w:rsidR="00930BB0" w:rsidRPr="00331C1E">
        <w:rPr>
          <w:szCs w:val="22"/>
          <w:lang w:val="cs-CZ"/>
        </w:rPr>
        <w:t>3 roky</w:t>
      </w:r>
      <w:r w:rsidR="00930BB0" w:rsidRPr="00331C1E">
        <w:rPr>
          <w:bCs/>
          <w:szCs w:val="22"/>
          <w:lang w:val="cs-CZ"/>
        </w:rPr>
        <w:t>, přípravek nevyžaduje žádné zvláštní podmínky uchovávání.</w:t>
      </w:r>
      <w:r w:rsidR="00930BB0" w:rsidRPr="00331C1E" w:rsidDel="00561017">
        <w:rPr>
          <w:szCs w:val="22"/>
          <w:lang w:val="cs-CZ"/>
        </w:rPr>
        <w:t xml:space="preserve"> </w:t>
      </w:r>
      <w:r w:rsidR="00930BB0" w:rsidRPr="00331C1E">
        <w:rPr>
          <w:b/>
          <w:szCs w:val="22"/>
          <w:lang w:val="cs-CZ"/>
        </w:rPr>
        <w:t xml:space="preserve">Druh obalu a obsah balení: </w:t>
      </w:r>
      <w:r w:rsidR="00930BB0" w:rsidRPr="00331C1E">
        <w:rPr>
          <w:bCs/>
          <w:szCs w:val="22"/>
          <w:lang w:val="cs-CZ"/>
        </w:rPr>
        <w:t xml:space="preserve">blistry v pouzdrech (14 a 28 potahovaných tablet) balených v krabičkách po 14, 28, 84.  </w:t>
      </w:r>
      <w:r w:rsidR="00930BB0" w:rsidRPr="00331C1E">
        <w:rPr>
          <w:b/>
          <w:noProof/>
          <w:szCs w:val="22"/>
          <w:lang w:val="cs-CZ"/>
        </w:rPr>
        <w:t>Držitel rozhodnutí o registraci:</w:t>
      </w:r>
      <w:r w:rsidR="00930BB0" w:rsidRPr="00331C1E">
        <w:rPr>
          <w:szCs w:val="22"/>
          <w:lang w:val="cs-CZ"/>
        </w:rPr>
        <w:t xml:space="preserve"> sanofi-</w:t>
      </w:r>
      <w:proofErr w:type="spellStart"/>
      <w:r w:rsidR="00930BB0" w:rsidRPr="00331C1E">
        <w:rPr>
          <w:szCs w:val="22"/>
          <w:lang w:val="cs-CZ"/>
        </w:rPr>
        <w:t>aventis</w:t>
      </w:r>
      <w:proofErr w:type="spellEnd"/>
      <w:r w:rsidR="00930BB0" w:rsidRPr="00331C1E">
        <w:rPr>
          <w:szCs w:val="22"/>
          <w:lang w:val="cs-CZ"/>
        </w:rPr>
        <w:t xml:space="preserve"> </w:t>
      </w:r>
      <w:proofErr w:type="spellStart"/>
      <w:r w:rsidR="00930BB0" w:rsidRPr="00331C1E">
        <w:rPr>
          <w:szCs w:val="22"/>
          <w:lang w:val="cs-CZ"/>
        </w:rPr>
        <w:t>groupe</w:t>
      </w:r>
      <w:proofErr w:type="spellEnd"/>
      <w:r w:rsidR="00930BB0" w:rsidRPr="00331C1E">
        <w:rPr>
          <w:szCs w:val="22"/>
          <w:lang w:val="cs-CZ"/>
        </w:rPr>
        <w:t xml:space="preserve">, 54, </w:t>
      </w:r>
      <w:proofErr w:type="spellStart"/>
      <w:r w:rsidR="00930BB0" w:rsidRPr="00331C1E">
        <w:rPr>
          <w:szCs w:val="22"/>
          <w:lang w:val="cs-CZ"/>
        </w:rPr>
        <w:t>rue</w:t>
      </w:r>
      <w:proofErr w:type="spellEnd"/>
      <w:r w:rsidR="00930BB0" w:rsidRPr="00331C1E">
        <w:rPr>
          <w:szCs w:val="22"/>
          <w:lang w:val="cs-CZ"/>
        </w:rPr>
        <w:t xml:space="preserve"> La </w:t>
      </w:r>
      <w:proofErr w:type="spellStart"/>
      <w:r w:rsidR="00930BB0" w:rsidRPr="00331C1E">
        <w:rPr>
          <w:szCs w:val="22"/>
          <w:lang w:val="cs-CZ"/>
        </w:rPr>
        <w:t>Boétie</w:t>
      </w:r>
      <w:proofErr w:type="spellEnd"/>
      <w:r w:rsidR="00930BB0" w:rsidRPr="00331C1E">
        <w:rPr>
          <w:szCs w:val="22"/>
          <w:lang w:val="cs-CZ"/>
        </w:rPr>
        <w:t>, F-75008 Paris, Francie</w:t>
      </w:r>
      <w:r w:rsidR="00930BB0" w:rsidRPr="00331C1E">
        <w:rPr>
          <w:noProof/>
          <w:szCs w:val="22"/>
          <w:lang w:val="cs-CZ"/>
        </w:rPr>
        <w:t>.</w:t>
      </w:r>
      <w:r w:rsidR="00930BB0" w:rsidRPr="00331C1E">
        <w:rPr>
          <w:b/>
          <w:noProof/>
          <w:szCs w:val="22"/>
          <w:lang w:val="cs-CZ"/>
        </w:rPr>
        <w:t xml:space="preserve"> Registrační číslo:</w:t>
      </w:r>
      <w:r w:rsidR="00930BB0" w:rsidRPr="00331C1E">
        <w:rPr>
          <w:color w:val="000000"/>
          <w:szCs w:val="22"/>
          <w:lang w:val="cs-CZ"/>
        </w:rPr>
        <w:t xml:space="preserve"> EU/1/13/838</w:t>
      </w:r>
      <w:r w:rsidR="00930BB0" w:rsidRPr="00331C1E">
        <w:rPr>
          <w:color w:val="000080"/>
          <w:szCs w:val="22"/>
          <w:lang w:val="cs-CZ"/>
        </w:rPr>
        <w:t>/</w:t>
      </w:r>
      <w:r w:rsidR="00930BB0" w:rsidRPr="00331C1E">
        <w:rPr>
          <w:color w:val="000000"/>
          <w:szCs w:val="22"/>
          <w:lang w:val="cs-CZ"/>
        </w:rPr>
        <w:t>001-5.</w:t>
      </w:r>
      <w:r w:rsidR="00930BB0" w:rsidRPr="00331C1E">
        <w:rPr>
          <w:szCs w:val="22"/>
          <w:lang w:val="cs-CZ"/>
        </w:rPr>
        <w:t xml:space="preserve"> </w:t>
      </w:r>
      <w:r w:rsidR="00930BB0" w:rsidRPr="00331C1E">
        <w:rPr>
          <w:b/>
          <w:color w:val="000000"/>
          <w:szCs w:val="22"/>
          <w:lang w:val="cs-CZ"/>
        </w:rPr>
        <w:t>Datum revize textu</w:t>
      </w:r>
      <w:r w:rsidR="00054C30" w:rsidRPr="00331C1E">
        <w:rPr>
          <w:szCs w:val="22"/>
          <w:lang w:val="cs-CZ"/>
        </w:rPr>
        <w:t>:</w:t>
      </w:r>
      <w:r w:rsidR="009D3ED7" w:rsidRPr="00331C1E">
        <w:rPr>
          <w:szCs w:val="22"/>
          <w:lang w:val="cs-CZ"/>
        </w:rPr>
        <w:t xml:space="preserve"> 23.7.2021.</w:t>
      </w:r>
      <w:r w:rsidR="00054C30" w:rsidRPr="00331C1E">
        <w:rPr>
          <w:szCs w:val="22"/>
          <w:lang w:val="cs-CZ"/>
        </w:rPr>
        <w:t xml:space="preserve"> </w:t>
      </w:r>
      <w:r w:rsidR="00DA1C83" w:rsidRPr="00331C1E">
        <w:rPr>
          <w:szCs w:val="22"/>
          <w:lang w:val="cs-CZ"/>
        </w:rPr>
        <w:t>Přípravek je vydáván na</w:t>
      </w:r>
      <w:r w:rsidR="006F013D" w:rsidRPr="00331C1E">
        <w:rPr>
          <w:szCs w:val="22"/>
          <w:lang w:val="cs-CZ"/>
        </w:rPr>
        <w:t xml:space="preserve"> lékařský</w:t>
      </w:r>
      <w:r w:rsidR="00DA1C83" w:rsidRPr="00331C1E">
        <w:rPr>
          <w:szCs w:val="22"/>
          <w:lang w:val="cs-CZ"/>
        </w:rPr>
        <w:t xml:space="preserve"> předpis a je</w:t>
      </w:r>
      <w:r w:rsidR="006F013D" w:rsidRPr="00331C1E">
        <w:rPr>
          <w:szCs w:val="22"/>
          <w:lang w:val="cs-CZ"/>
        </w:rPr>
        <w:t xml:space="preserve"> plně</w:t>
      </w:r>
      <w:r w:rsidR="00DA1C83" w:rsidRPr="00331C1E">
        <w:rPr>
          <w:szCs w:val="22"/>
          <w:lang w:val="cs-CZ"/>
        </w:rPr>
        <w:t xml:space="preserve"> hrazen z</w:t>
      </w:r>
      <w:r w:rsidR="006F013D" w:rsidRPr="00331C1E">
        <w:rPr>
          <w:szCs w:val="22"/>
          <w:lang w:val="cs-CZ"/>
        </w:rPr>
        <w:t xml:space="preserve"> prostředků </w:t>
      </w:r>
      <w:r w:rsidR="00DA1C83" w:rsidRPr="00331C1E">
        <w:rPr>
          <w:szCs w:val="22"/>
          <w:lang w:val="cs-CZ"/>
        </w:rPr>
        <w:t>veřejného zdravotního pojištění.</w:t>
      </w:r>
      <w:r w:rsidR="006F013D" w:rsidRPr="00331C1E">
        <w:rPr>
          <w:szCs w:val="22"/>
          <w:lang w:val="cs-CZ"/>
        </w:rPr>
        <w:t xml:space="preserve"> </w:t>
      </w:r>
      <w:r w:rsidR="00930BB0" w:rsidRPr="00331C1E">
        <w:rPr>
          <w:noProof/>
          <w:szCs w:val="22"/>
          <w:lang w:val="cs-CZ"/>
        </w:rPr>
        <w:t>Před použitím přípravku se seznamte s úplnou informací o přípravku.</w:t>
      </w:r>
    </w:p>
    <w:p w14:paraId="024A7489" w14:textId="77777777" w:rsidR="00930BB0" w:rsidRPr="00331C1E" w:rsidRDefault="00930BB0" w:rsidP="00A035D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Cs/>
          <w:szCs w:val="22"/>
          <w:lang w:val="cs-CZ"/>
        </w:rPr>
      </w:pPr>
      <w:r w:rsidRPr="00331C1E">
        <w:rPr>
          <w:noProof/>
          <w:szCs w:val="22"/>
          <w:lang w:val="cs-CZ"/>
        </w:rPr>
        <w:t>Souhrn údajů o přípravku obdržíte na adrese: sanofi-aventis, s.r.o., Evropská 846/1764, 160 00 Praha 6, tel.:</w:t>
      </w:r>
      <w:r w:rsidR="00A035D4" w:rsidRPr="00331C1E">
        <w:rPr>
          <w:noProof/>
          <w:szCs w:val="22"/>
          <w:lang w:val="cs-CZ"/>
        </w:rPr>
        <w:t xml:space="preserve"> </w:t>
      </w:r>
      <w:r w:rsidRPr="00331C1E">
        <w:rPr>
          <w:noProof/>
          <w:szCs w:val="22"/>
          <w:lang w:val="cs-CZ"/>
        </w:rPr>
        <w:t xml:space="preserve">233 086 111, fax: 233 086 222. </w:t>
      </w:r>
      <w:r w:rsidR="00597D8C" w:rsidRPr="00331C1E">
        <w:rPr>
          <w:iCs/>
          <w:szCs w:val="22"/>
          <w:lang w:val="cs-CZ"/>
        </w:rPr>
        <w:t xml:space="preserve"> Podrobné</w:t>
      </w:r>
      <w:r w:rsidRPr="00331C1E">
        <w:rPr>
          <w:iCs/>
          <w:szCs w:val="22"/>
          <w:lang w:val="cs-CZ"/>
        </w:rPr>
        <w:t xml:space="preserve"> informace o tomto léčivém přípravku </w:t>
      </w:r>
      <w:r w:rsidRPr="00331C1E">
        <w:rPr>
          <w:szCs w:val="22"/>
          <w:lang w:val="cs-CZ"/>
        </w:rPr>
        <w:t xml:space="preserve">jsou rovněž k dispozici na webových stránkách Evropské agentury pro léčivé přípravky na adrese </w:t>
      </w:r>
      <w:r w:rsidRPr="00331C1E">
        <w:rPr>
          <w:lang w:val="cs-CZ"/>
        </w:rPr>
        <w:t>http://www.ema.europa.eu</w:t>
      </w:r>
      <w:r w:rsidR="006F013D" w:rsidRPr="00331C1E">
        <w:rPr>
          <w:lang w:val="cs-CZ"/>
        </w:rPr>
        <w:t>.</w:t>
      </w:r>
    </w:p>
    <w:p w14:paraId="7D654FBB" w14:textId="77777777" w:rsidR="00930BB0" w:rsidRPr="00331C1E" w:rsidRDefault="00930BB0" w:rsidP="000D414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/>
        </w:rPr>
      </w:pPr>
    </w:p>
    <w:sectPr w:rsidR="00930BB0" w:rsidRPr="0033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4F8F6" w14:textId="77777777" w:rsidR="006F3AC0" w:rsidRDefault="006F3AC0" w:rsidP="00B61589">
      <w:pPr>
        <w:spacing w:line="240" w:lineRule="auto"/>
      </w:pPr>
      <w:r>
        <w:separator/>
      </w:r>
    </w:p>
  </w:endnote>
  <w:endnote w:type="continuationSeparator" w:id="0">
    <w:p w14:paraId="57CBE69D" w14:textId="77777777" w:rsidR="006F3AC0" w:rsidRDefault="006F3AC0" w:rsidP="00B61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5D5C" w14:textId="77777777" w:rsidR="006F3AC0" w:rsidRDefault="006F3AC0" w:rsidP="00B61589">
      <w:pPr>
        <w:spacing w:line="240" w:lineRule="auto"/>
      </w:pPr>
      <w:r>
        <w:separator/>
      </w:r>
    </w:p>
  </w:footnote>
  <w:footnote w:type="continuationSeparator" w:id="0">
    <w:p w14:paraId="6521D17D" w14:textId="77777777" w:rsidR="006F3AC0" w:rsidRDefault="006F3AC0" w:rsidP="00B615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B14"/>
    <w:multiLevelType w:val="hybridMultilevel"/>
    <w:tmpl w:val="D3F2863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676B56"/>
    <w:multiLevelType w:val="hybridMultilevel"/>
    <w:tmpl w:val="EB6ABF7C"/>
    <w:lvl w:ilvl="0" w:tplc="E7FEA2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58"/>
    <w:rsid w:val="00037641"/>
    <w:rsid w:val="00050847"/>
    <w:rsid w:val="00054C30"/>
    <w:rsid w:val="000D4149"/>
    <w:rsid w:val="0011676F"/>
    <w:rsid w:val="001230BF"/>
    <w:rsid w:val="00130D93"/>
    <w:rsid w:val="001469FE"/>
    <w:rsid w:val="00176A8C"/>
    <w:rsid w:val="001B64D6"/>
    <w:rsid w:val="00201954"/>
    <w:rsid w:val="002940AC"/>
    <w:rsid w:val="002C1CCB"/>
    <w:rsid w:val="002C6D74"/>
    <w:rsid w:val="002F1E90"/>
    <w:rsid w:val="00331C1E"/>
    <w:rsid w:val="00332517"/>
    <w:rsid w:val="00353124"/>
    <w:rsid w:val="003868F0"/>
    <w:rsid w:val="004172BE"/>
    <w:rsid w:val="00444F6A"/>
    <w:rsid w:val="00484636"/>
    <w:rsid w:val="00485B36"/>
    <w:rsid w:val="00487B17"/>
    <w:rsid w:val="004E1EF6"/>
    <w:rsid w:val="00513EC1"/>
    <w:rsid w:val="00524F5A"/>
    <w:rsid w:val="005432C3"/>
    <w:rsid w:val="00561781"/>
    <w:rsid w:val="00565D16"/>
    <w:rsid w:val="005660DD"/>
    <w:rsid w:val="00581D1E"/>
    <w:rsid w:val="00597D8C"/>
    <w:rsid w:val="005B019E"/>
    <w:rsid w:val="005D1071"/>
    <w:rsid w:val="005E2486"/>
    <w:rsid w:val="005E5CED"/>
    <w:rsid w:val="00607A7B"/>
    <w:rsid w:val="006D0822"/>
    <w:rsid w:val="006F013D"/>
    <w:rsid w:val="006F3AC0"/>
    <w:rsid w:val="00725634"/>
    <w:rsid w:val="00741B85"/>
    <w:rsid w:val="007A1407"/>
    <w:rsid w:val="008614F7"/>
    <w:rsid w:val="008B78D1"/>
    <w:rsid w:val="008E6E2C"/>
    <w:rsid w:val="00923A89"/>
    <w:rsid w:val="00930BB0"/>
    <w:rsid w:val="00934161"/>
    <w:rsid w:val="00950484"/>
    <w:rsid w:val="0096615F"/>
    <w:rsid w:val="009720D8"/>
    <w:rsid w:val="00994612"/>
    <w:rsid w:val="009D1DCD"/>
    <w:rsid w:val="009D3ED7"/>
    <w:rsid w:val="00A035D4"/>
    <w:rsid w:val="00A63BF0"/>
    <w:rsid w:val="00A66D2B"/>
    <w:rsid w:val="00A66DE6"/>
    <w:rsid w:val="00A76048"/>
    <w:rsid w:val="00B61589"/>
    <w:rsid w:val="00B72F71"/>
    <w:rsid w:val="00BA7ACF"/>
    <w:rsid w:val="00BB7C8E"/>
    <w:rsid w:val="00C06959"/>
    <w:rsid w:val="00C134AF"/>
    <w:rsid w:val="00C27181"/>
    <w:rsid w:val="00C55B1E"/>
    <w:rsid w:val="00CA280E"/>
    <w:rsid w:val="00CC50C9"/>
    <w:rsid w:val="00CE527E"/>
    <w:rsid w:val="00CF79AC"/>
    <w:rsid w:val="00D00313"/>
    <w:rsid w:val="00D23958"/>
    <w:rsid w:val="00D757ED"/>
    <w:rsid w:val="00D90127"/>
    <w:rsid w:val="00D90156"/>
    <w:rsid w:val="00DA1C83"/>
    <w:rsid w:val="00DA49F7"/>
    <w:rsid w:val="00DD1E78"/>
    <w:rsid w:val="00DD56AA"/>
    <w:rsid w:val="00E003E2"/>
    <w:rsid w:val="00E113D8"/>
    <w:rsid w:val="00E232E4"/>
    <w:rsid w:val="00EB4718"/>
    <w:rsid w:val="00EF798E"/>
    <w:rsid w:val="00F04D0D"/>
    <w:rsid w:val="00F124AF"/>
    <w:rsid w:val="00F15A6D"/>
    <w:rsid w:val="00F33427"/>
    <w:rsid w:val="00F40A58"/>
    <w:rsid w:val="00F51D5A"/>
    <w:rsid w:val="00F718EE"/>
    <w:rsid w:val="00F75205"/>
    <w:rsid w:val="00F90E5C"/>
    <w:rsid w:val="00FA5B96"/>
    <w:rsid w:val="00FC5665"/>
    <w:rsid w:val="00FC79D7"/>
    <w:rsid w:val="00FE01F3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CF4FF9"/>
  <w15:docId w15:val="{789FDC49-84D4-4F53-BB74-0BFB7D63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95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395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A89"/>
    <w:rPr>
      <w:rFonts w:ascii="Tahoma" w:eastAsia="Times New Roman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718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8EE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8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8E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5585-C6C2-43A7-A545-BFB2E340E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74B4F-BDA7-43BD-AA9D-C15E4818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1350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Kopecka, Zlata GZ/CZ</dc:creator>
  <cp:lastModifiedBy>Trochova, Sarka /CZ</cp:lastModifiedBy>
  <cp:revision>2</cp:revision>
  <cp:lastPrinted>2014-12-01T21:44:00Z</cp:lastPrinted>
  <dcterms:created xsi:type="dcterms:W3CDTF">2021-08-04T09:18:00Z</dcterms:created>
  <dcterms:modified xsi:type="dcterms:W3CDTF">2021-08-04T09:18:00Z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